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7BEED714" w:rsidR="00420A38" w:rsidRPr="00580594" w:rsidRDefault="00420A38" w:rsidP="000049D8">
      <w:pPr>
        <w:pStyle w:val="Header"/>
        <w:tabs>
          <w:tab w:val="right" w:pos="5954"/>
        </w:tabs>
        <w:spacing w:after="240"/>
        <w:jc w:val="right"/>
        <w:rPr>
          <w:rFonts w:ascii="Calibri" w:hAnsi="Calibri"/>
          <w:b/>
          <w:bCs/>
          <w:color w:val="00558C"/>
          <w:sz w:val="24"/>
          <w:szCs w:val="24"/>
        </w:rPr>
      </w:pPr>
      <w:r w:rsidRPr="00580594">
        <w:rPr>
          <w:rFonts w:ascii="Calibri" w:hAnsi="Calibri"/>
          <w:b/>
          <w:bCs/>
          <w:color w:val="00558C"/>
          <w:sz w:val="24"/>
          <w:szCs w:val="24"/>
        </w:rPr>
        <w:t>Input paper</w:t>
      </w:r>
      <w:r w:rsidR="00037DF4" w:rsidRPr="00580594">
        <w:rPr>
          <w:rFonts w:ascii="Calibri" w:hAnsi="Calibri"/>
          <w:b/>
          <w:bCs/>
          <w:color w:val="00558C"/>
          <w:sz w:val="24"/>
          <w:szCs w:val="24"/>
        </w:rPr>
        <w:t>:</w:t>
      </w:r>
      <w:r w:rsidR="000049D8" w:rsidRPr="00580594">
        <w:rPr>
          <w:rFonts w:ascii="Calibri" w:hAnsi="Calibri"/>
          <w:b/>
          <w:bCs/>
          <w:color w:val="00558C"/>
          <w:sz w:val="24"/>
          <w:szCs w:val="24"/>
        </w:rPr>
        <w:t xml:space="preserve">  </w:t>
      </w:r>
      <w:r w:rsidR="009B2BB1">
        <w:rPr>
          <w:rFonts w:ascii="Calibri" w:hAnsi="Calibri"/>
          <w:color w:val="00558C"/>
          <w:sz w:val="24"/>
          <w:szCs w:val="24"/>
        </w:rPr>
        <w:t>ENG19</w:t>
      </w:r>
      <w:r w:rsidRPr="00580594">
        <w:rPr>
          <w:rFonts w:ascii="Calibri" w:hAnsi="Calibri"/>
          <w:color w:val="00558C"/>
          <w:sz w:val="24"/>
          <w:szCs w:val="24"/>
        </w:rPr>
        <w:t>-</w:t>
      </w:r>
      <w:r w:rsidR="00F831B9">
        <w:rPr>
          <w:rFonts w:ascii="Calibri" w:hAnsi="Calibri"/>
          <w:color w:val="00558C"/>
          <w:sz w:val="24"/>
          <w:szCs w:val="24"/>
        </w:rPr>
        <w:t>3</w:t>
      </w:r>
      <w:r w:rsidRPr="00580594">
        <w:rPr>
          <w:rFonts w:ascii="Calibri" w:hAnsi="Calibri"/>
          <w:color w:val="00558C"/>
          <w:sz w:val="24"/>
          <w:szCs w:val="24"/>
        </w:rPr>
        <w:t>.</w:t>
      </w:r>
      <w:r w:rsidR="00F831B9">
        <w:rPr>
          <w:rFonts w:ascii="Calibri" w:hAnsi="Calibri"/>
          <w:color w:val="00558C"/>
          <w:sz w:val="24"/>
          <w:szCs w:val="24"/>
        </w:rPr>
        <w:t>1</w:t>
      </w:r>
      <w:r w:rsidR="00E558C3" w:rsidRPr="00580594">
        <w:rPr>
          <w:rFonts w:ascii="Calibri" w:hAnsi="Calibri"/>
          <w:color w:val="00558C"/>
          <w:sz w:val="24"/>
          <w:szCs w:val="24"/>
        </w:rPr>
        <w:t>.</w:t>
      </w:r>
      <w:r w:rsidR="00F831B9">
        <w:rPr>
          <w:rFonts w:ascii="Calibri" w:hAnsi="Calibri"/>
          <w:color w:val="00558C"/>
          <w:sz w:val="24"/>
          <w:szCs w:val="24"/>
        </w:rPr>
        <w:t>1.1</w:t>
      </w:r>
    </w:p>
    <w:p w14:paraId="22E94D0E" w14:textId="77777777" w:rsidR="00D019CE" w:rsidRPr="00580594" w:rsidRDefault="00D019CE" w:rsidP="00FE5674">
      <w:pPr>
        <w:pStyle w:val="BodyText"/>
        <w:tabs>
          <w:tab w:val="left" w:pos="2835"/>
        </w:tabs>
        <w:rPr>
          <w:rFonts w:ascii="Calibri" w:hAnsi="Calibri"/>
        </w:rPr>
      </w:pPr>
    </w:p>
    <w:p w14:paraId="7FBFFE1D" w14:textId="12B00AE6" w:rsidR="00A72757" w:rsidRPr="00580594" w:rsidRDefault="00E558C3" w:rsidP="00A72757">
      <w:pPr>
        <w:pStyle w:val="BodyText"/>
        <w:tabs>
          <w:tab w:val="left" w:pos="2835"/>
        </w:tabs>
        <w:spacing w:after="0"/>
        <w:rPr>
          <w:rFonts w:ascii="Calibri" w:hAnsi="Calibri"/>
          <w:b/>
          <w:bCs/>
          <w:color w:val="00558C"/>
          <w:sz w:val="24"/>
          <w:szCs w:val="24"/>
        </w:rPr>
      </w:pPr>
      <w:r w:rsidRPr="00580594">
        <w:rPr>
          <w:rFonts w:ascii="Calibri" w:hAnsi="Calibri"/>
          <w:b/>
          <w:bCs/>
          <w:color w:val="00558C"/>
          <w:sz w:val="24"/>
          <w:szCs w:val="24"/>
        </w:rPr>
        <w:t>Input paper for the following Committee(s):</w:t>
      </w:r>
      <w:r w:rsidRPr="00580594">
        <w:rPr>
          <w:rFonts w:ascii="Calibri" w:hAnsi="Calibri"/>
          <w:color w:val="00558C"/>
        </w:rPr>
        <w:t xml:space="preserve"> </w:t>
      </w:r>
      <w:r w:rsidR="00110203" w:rsidRPr="00580594">
        <w:rPr>
          <w:rFonts w:ascii="Calibri" w:hAnsi="Calibri"/>
        </w:rPr>
        <w:tab/>
      </w:r>
      <w:r w:rsidR="00110203" w:rsidRPr="00580594">
        <w:rPr>
          <w:rFonts w:ascii="Calibri" w:hAnsi="Calibri"/>
        </w:rPr>
        <w:tab/>
      </w:r>
      <w:r w:rsidR="00110203" w:rsidRPr="00580594">
        <w:rPr>
          <w:rFonts w:ascii="Calibri" w:hAnsi="Calibri"/>
          <w:b/>
          <w:bCs/>
          <w:color w:val="00558C"/>
          <w:sz w:val="24"/>
          <w:szCs w:val="24"/>
        </w:rPr>
        <w:t>Purpose of paper:</w:t>
      </w:r>
    </w:p>
    <w:p w14:paraId="370CFB53" w14:textId="218953A1" w:rsidR="0080294B" w:rsidRPr="00580594" w:rsidRDefault="00A72757" w:rsidP="00FE5674">
      <w:pPr>
        <w:pStyle w:val="BodyText"/>
        <w:tabs>
          <w:tab w:val="left" w:pos="2835"/>
        </w:tabs>
        <w:rPr>
          <w:rFonts w:ascii="Calibri" w:hAnsi="Calibri"/>
        </w:rPr>
      </w:pPr>
      <w:r w:rsidRPr="00580594">
        <w:rPr>
          <w:rFonts w:ascii="Calibri" w:hAnsi="Calibri"/>
          <w:sz w:val="18"/>
          <w:szCs w:val="18"/>
        </w:rPr>
        <w:t>(Select</w:t>
      </w:r>
      <w:r w:rsidR="00A01B17" w:rsidRPr="00580594">
        <w:rPr>
          <w:rFonts w:ascii="Calibri" w:hAnsi="Calibri"/>
          <w:sz w:val="18"/>
          <w:szCs w:val="18"/>
        </w:rPr>
        <w:t xml:space="preserve"> </w:t>
      </w:r>
      <w:r w:rsidR="00E558C3" w:rsidRPr="00580594">
        <w:rPr>
          <w:rFonts w:ascii="Calibri" w:hAnsi="Calibri"/>
          <w:sz w:val="18"/>
          <w:szCs w:val="18"/>
        </w:rPr>
        <w:t>as appropriate</w:t>
      </w:r>
      <w:r w:rsidR="00110203" w:rsidRPr="00580594">
        <w:rPr>
          <w:rFonts w:ascii="Calibri" w:hAnsi="Calibri"/>
          <w:sz w:val="18"/>
          <w:szCs w:val="18"/>
        </w:rPr>
        <w:t>)</w:t>
      </w:r>
      <w:r w:rsidR="00E558C3" w:rsidRPr="00580594">
        <w:rPr>
          <w:rFonts w:ascii="Calibri" w:hAnsi="Calibri"/>
          <w:sz w:val="18"/>
          <w:szCs w:val="18"/>
        </w:rPr>
        <w:tab/>
      </w:r>
    </w:p>
    <w:p w14:paraId="78786733" w14:textId="0B8558A3" w:rsidR="0080294B" w:rsidRPr="00580594" w:rsidRDefault="002726DA"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sidRPr="00580594">
            <w:rPr>
              <w:rFonts w:ascii="MS Gothic" w:eastAsia="MS Gothic" w:hAnsi="MS Gothic" w:cs="Arial"/>
              <w:b/>
              <w:sz w:val="24"/>
              <w:szCs w:val="24"/>
            </w:rPr>
            <w:t>☐</w:t>
          </w:r>
        </w:sdtContent>
      </w:sdt>
      <w:r w:rsidR="00221E08" w:rsidRPr="00580594">
        <w:rPr>
          <w:rFonts w:ascii="Calibri" w:hAnsi="Calibri" w:cs="Arial"/>
          <w:sz w:val="24"/>
          <w:szCs w:val="24"/>
        </w:rPr>
        <w:t xml:space="preserve"> </w:t>
      </w:r>
      <w:r w:rsidR="0080294B" w:rsidRPr="00580594">
        <w:rPr>
          <w:rFonts w:ascii="Calibri" w:hAnsi="Calibri" w:cs="Arial"/>
        </w:rPr>
        <w:t>ARM</w:t>
      </w:r>
      <w:r w:rsidR="00037DF4" w:rsidRPr="00580594">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EndPr/>
        <w:sdtContent>
          <w:r w:rsidR="00774EDB" w:rsidRPr="00580594">
            <w:rPr>
              <w:rFonts w:ascii="MS Gothic" w:eastAsia="MS Gothic" w:hAnsi="MS Gothic" w:cs="Arial"/>
              <w:b/>
              <w:sz w:val="24"/>
              <w:szCs w:val="24"/>
            </w:rPr>
            <w:t>☒</w:t>
          </w:r>
        </w:sdtContent>
      </w:sdt>
      <w:r w:rsidR="0080294B" w:rsidRPr="00580594">
        <w:rPr>
          <w:rFonts w:ascii="Calibri" w:hAnsi="Calibri" w:cs="Arial"/>
          <w:sz w:val="24"/>
          <w:szCs w:val="24"/>
        </w:rPr>
        <w:t xml:space="preserve">  </w:t>
      </w:r>
      <w:r w:rsidR="0080294B" w:rsidRPr="00580594">
        <w:rPr>
          <w:rFonts w:ascii="Calibri" w:hAnsi="Calibri" w:cs="Arial"/>
        </w:rPr>
        <w:t>ENG</w:t>
      </w:r>
      <w:r w:rsidR="0080294B" w:rsidRPr="00580594">
        <w:rPr>
          <w:rFonts w:ascii="Calibri" w:hAnsi="Calibri" w:cs="Arial"/>
        </w:rPr>
        <w:tab/>
      </w:r>
      <w:r w:rsidR="0080294B" w:rsidRPr="00580594">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sidRPr="00580594">
            <w:rPr>
              <w:rFonts w:ascii="MS Gothic" w:eastAsia="MS Gothic" w:hAnsi="MS Gothic" w:cs="Arial"/>
              <w:b/>
              <w:sz w:val="24"/>
              <w:szCs w:val="24"/>
            </w:rPr>
            <w:t>☐</w:t>
          </w:r>
        </w:sdtContent>
      </w:sdt>
      <w:r w:rsidR="0080294B" w:rsidRPr="00580594">
        <w:rPr>
          <w:rFonts w:ascii="Calibri" w:hAnsi="Calibri" w:cs="Arial"/>
          <w:sz w:val="24"/>
          <w:szCs w:val="24"/>
        </w:rPr>
        <w:t xml:space="preserve"> </w:t>
      </w:r>
      <w:bookmarkEnd w:id="0"/>
      <w:r w:rsidR="0080294B" w:rsidRPr="00580594">
        <w:rPr>
          <w:rFonts w:ascii="Calibri" w:hAnsi="Calibri" w:cs="Arial"/>
        </w:rPr>
        <w:t>PAP</w:t>
      </w:r>
      <w:r w:rsidR="0080294B" w:rsidRPr="00580594">
        <w:rPr>
          <w:rFonts w:ascii="Calibri" w:hAnsi="Calibri" w:cs="Arial"/>
          <w:sz w:val="24"/>
          <w:szCs w:val="24"/>
        </w:rPr>
        <w:tab/>
      </w:r>
      <w:r w:rsidR="0080294B" w:rsidRPr="00580594">
        <w:rPr>
          <w:rFonts w:ascii="Calibri" w:hAnsi="Calibri" w:cs="Arial"/>
          <w:sz w:val="24"/>
          <w:szCs w:val="24"/>
        </w:rPr>
        <w:tab/>
      </w:r>
      <w:r w:rsidR="00037DF4" w:rsidRPr="00580594">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EndPr/>
        <w:sdtContent>
          <w:r w:rsidR="00110203" w:rsidRPr="00580594">
            <w:rPr>
              <w:rFonts w:ascii="MS Gothic" w:eastAsia="MS Gothic" w:hAnsi="MS Gothic" w:cs="Arial"/>
              <w:b/>
              <w:sz w:val="24"/>
              <w:szCs w:val="24"/>
            </w:rPr>
            <w:t>☐</w:t>
          </w:r>
        </w:sdtContent>
      </w:sdt>
      <w:r w:rsidR="00110203" w:rsidRPr="00580594">
        <w:rPr>
          <w:rFonts w:ascii="Calibri" w:hAnsi="Calibri" w:cs="Arial"/>
          <w:sz w:val="24"/>
          <w:szCs w:val="24"/>
        </w:rPr>
        <w:t xml:space="preserve"> </w:t>
      </w:r>
      <w:r w:rsidR="0080294B" w:rsidRPr="00580594">
        <w:rPr>
          <w:rFonts w:ascii="Calibri" w:hAnsi="Calibri" w:cs="Arial"/>
        </w:rPr>
        <w:t>Input</w:t>
      </w:r>
    </w:p>
    <w:p w14:paraId="0BC79547" w14:textId="0B0701F7" w:rsidR="0080294B" w:rsidRPr="00580594" w:rsidRDefault="002726DA"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580594">
            <w:rPr>
              <w:rFonts w:ascii="MS Gothic" w:eastAsia="MS Gothic" w:hAnsi="MS Gothic" w:cs="Arial"/>
              <w:b/>
            </w:rPr>
            <w:t>☐</w:t>
          </w:r>
        </w:sdtContent>
      </w:sdt>
      <w:r w:rsidR="0080294B" w:rsidRPr="00580594">
        <w:rPr>
          <w:rFonts w:ascii="Calibri" w:hAnsi="Calibri" w:cs="Arial"/>
        </w:rPr>
        <w:t xml:space="preserve"> ENAV</w:t>
      </w:r>
      <w:r w:rsidR="0080294B" w:rsidRPr="00580594">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580594">
            <w:rPr>
              <w:rFonts w:ascii="MS Gothic" w:eastAsia="MS Gothic" w:hAnsi="MS Gothic" w:cs="Arial"/>
              <w:b/>
            </w:rPr>
            <w:t>☐</w:t>
          </w:r>
        </w:sdtContent>
      </w:sdt>
      <w:r w:rsidR="0080294B" w:rsidRPr="00580594">
        <w:rPr>
          <w:rFonts w:ascii="Calibri" w:hAnsi="Calibri" w:cs="Arial"/>
        </w:rPr>
        <w:t xml:space="preserve"> </w:t>
      </w:r>
      <w:r w:rsidR="003D2DC1" w:rsidRPr="00580594">
        <w:rPr>
          <w:rFonts w:ascii="Calibri" w:hAnsi="Calibri" w:cs="Arial"/>
        </w:rPr>
        <w:t>VTS</w:t>
      </w:r>
      <w:r w:rsidR="0080294B" w:rsidRPr="00580594">
        <w:rPr>
          <w:rFonts w:ascii="Calibri" w:hAnsi="Calibri" w:cs="Arial"/>
        </w:rPr>
        <w:tab/>
      </w:r>
      <w:r w:rsidR="0080294B" w:rsidRPr="00580594">
        <w:rPr>
          <w:rFonts w:ascii="Calibri" w:hAnsi="Calibri" w:cs="Arial"/>
        </w:rPr>
        <w:tab/>
      </w:r>
      <w:r w:rsidR="0080294B" w:rsidRPr="00580594">
        <w:rPr>
          <w:rFonts w:ascii="Calibri" w:hAnsi="Calibri" w:cs="Arial"/>
        </w:rPr>
        <w:tab/>
      </w:r>
      <w:r w:rsidR="0080294B" w:rsidRPr="00580594">
        <w:rPr>
          <w:rFonts w:ascii="Calibri" w:hAnsi="Calibri" w:cs="Arial"/>
        </w:rPr>
        <w:tab/>
      </w:r>
      <w:r w:rsidR="0080294B" w:rsidRPr="00580594">
        <w:rPr>
          <w:rFonts w:ascii="Calibri" w:hAnsi="Calibri" w:cs="Arial"/>
        </w:rPr>
        <w:tab/>
      </w:r>
      <w:sdt>
        <w:sdtPr>
          <w:rPr>
            <w:rFonts w:ascii="Calibri" w:hAnsi="Calibri" w:cs="Arial"/>
            <w:b/>
          </w:rPr>
          <w:id w:val="1701977003"/>
          <w14:checkbox>
            <w14:checked w14:val="1"/>
            <w14:checkedState w14:val="2612" w14:font="MS Gothic"/>
            <w14:uncheckedState w14:val="2610" w14:font="MS Gothic"/>
          </w14:checkbox>
        </w:sdtPr>
        <w:sdtEndPr/>
        <w:sdtContent>
          <w:r w:rsidR="00774EDB" w:rsidRPr="00580594">
            <w:rPr>
              <w:rFonts w:ascii="MS Gothic" w:eastAsia="MS Gothic" w:hAnsi="MS Gothic" w:cs="Arial"/>
              <w:b/>
            </w:rPr>
            <w:t>☒</w:t>
          </w:r>
        </w:sdtContent>
      </w:sdt>
      <w:r w:rsidR="00110203" w:rsidRPr="00580594">
        <w:rPr>
          <w:rFonts w:ascii="Calibri" w:hAnsi="Calibri" w:cs="Arial"/>
        </w:rPr>
        <w:t xml:space="preserve"> </w:t>
      </w:r>
      <w:r w:rsidR="0080294B" w:rsidRPr="00580594">
        <w:rPr>
          <w:rFonts w:ascii="Calibri" w:hAnsi="Calibri" w:cs="Arial"/>
        </w:rPr>
        <w:t>Information</w:t>
      </w:r>
    </w:p>
    <w:p w14:paraId="3E1C02C4" w14:textId="77777777" w:rsidR="0080294B" w:rsidRPr="00580594" w:rsidRDefault="0080294B" w:rsidP="00FE5674">
      <w:pPr>
        <w:pStyle w:val="BodyText"/>
        <w:tabs>
          <w:tab w:val="left" w:pos="2835"/>
        </w:tabs>
        <w:rPr>
          <w:rFonts w:ascii="Calibri" w:hAnsi="Calibri"/>
        </w:rPr>
      </w:pPr>
    </w:p>
    <w:p w14:paraId="4DD25FD9" w14:textId="2670DD63" w:rsidR="00A446C9" w:rsidRPr="00580594" w:rsidRDefault="00A446C9" w:rsidP="00FE5674">
      <w:pPr>
        <w:pStyle w:val="BodyText"/>
        <w:tabs>
          <w:tab w:val="left" w:pos="2835"/>
        </w:tabs>
        <w:rPr>
          <w:rFonts w:ascii="Calibri" w:hAnsi="Calibri"/>
        </w:rPr>
      </w:pPr>
      <w:r w:rsidRPr="00580594">
        <w:rPr>
          <w:rFonts w:ascii="Calibri" w:hAnsi="Calibri"/>
          <w:b/>
          <w:bCs/>
          <w:color w:val="00558C"/>
          <w:sz w:val="24"/>
          <w:szCs w:val="24"/>
        </w:rPr>
        <w:t>Agenda item</w:t>
      </w:r>
      <w:r w:rsidR="001C44A3" w:rsidRPr="00580594">
        <w:rPr>
          <w:rFonts w:ascii="Calibri" w:hAnsi="Calibri"/>
        </w:rPr>
        <w:tab/>
      </w:r>
      <w:r w:rsidR="0080294B" w:rsidRPr="00580594">
        <w:rPr>
          <w:rFonts w:ascii="Calibri" w:hAnsi="Calibri"/>
        </w:rPr>
        <w:tab/>
      </w:r>
      <w:r w:rsidR="0080294B" w:rsidRPr="00580594">
        <w:rPr>
          <w:rFonts w:ascii="Calibri" w:hAnsi="Calibri"/>
        </w:rPr>
        <w:tab/>
        <w:t>n.n</w:t>
      </w:r>
    </w:p>
    <w:p w14:paraId="1AB3E246" w14:textId="555FAFAF" w:rsidR="00A446C9" w:rsidRPr="00580594" w:rsidRDefault="0080294B" w:rsidP="00FE5674">
      <w:pPr>
        <w:pStyle w:val="BodyText"/>
        <w:tabs>
          <w:tab w:val="left" w:pos="2835"/>
        </w:tabs>
        <w:rPr>
          <w:rFonts w:ascii="Calibri" w:hAnsi="Calibri"/>
        </w:rPr>
      </w:pPr>
      <w:r w:rsidRPr="00580594">
        <w:rPr>
          <w:rFonts w:ascii="Calibri" w:hAnsi="Calibri"/>
          <w:b/>
          <w:bCs/>
          <w:color w:val="00558C"/>
          <w:sz w:val="24"/>
          <w:szCs w:val="24"/>
        </w:rPr>
        <w:t xml:space="preserve">Technical </w:t>
      </w:r>
      <w:r w:rsidR="00B0084A" w:rsidRPr="00580594">
        <w:rPr>
          <w:rFonts w:ascii="Calibri" w:hAnsi="Calibri"/>
          <w:b/>
          <w:bCs/>
          <w:color w:val="00558C"/>
          <w:sz w:val="24"/>
          <w:szCs w:val="24"/>
        </w:rPr>
        <w:t>d</w:t>
      </w:r>
      <w:r w:rsidRPr="00580594">
        <w:rPr>
          <w:rFonts w:ascii="Calibri" w:hAnsi="Calibri"/>
          <w:b/>
          <w:bCs/>
          <w:color w:val="00558C"/>
          <w:sz w:val="24"/>
          <w:szCs w:val="24"/>
        </w:rPr>
        <w:t xml:space="preserve">omain/ </w:t>
      </w:r>
      <w:r w:rsidR="00A446C9" w:rsidRPr="00580594">
        <w:rPr>
          <w:rFonts w:ascii="Calibri" w:hAnsi="Calibri"/>
          <w:b/>
          <w:bCs/>
          <w:color w:val="00558C"/>
          <w:sz w:val="24"/>
          <w:szCs w:val="24"/>
        </w:rPr>
        <w:t xml:space="preserve">Task </w:t>
      </w:r>
      <w:r w:rsidR="00B0084A" w:rsidRPr="00580594">
        <w:rPr>
          <w:rFonts w:ascii="Calibri" w:hAnsi="Calibri"/>
          <w:b/>
          <w:bCs/>
          <w:color w:val="00558C"/>
          <w:sz w:val="24"/>
          <w:szCs w:val="24"/>
        </w:rPr>
        <w:t>n</w:t>
      </w:r>
      <w:r w:rsidR="00A446C9" w:rsidRPr="00580594">
        <w:rPr>
          <w:rFonts w:ascii="Calibri" w:hAnsi="Calibri"/>
          <w:b/>
          <w:bCs/>
          <w:color w:val="00558C"/>
          <w:sz w:val="24"/>
          <w:szCs w:val="24"/>
        </w:rPr>
        <w:t>umber</w:t>
      </w:r>
      <w:r w:rsidR="001C44A3" w:rsidRPr="00580594">
        <w:rPr>
          <w:rFonts w:ascii="Calibri" w:hAnsi="Calibri"/>
        </w:rPr>
        <w:tab/>
      </w:r>
      <w:r w:rsidRPr="00580594">
        <w:rPr>
          <w:rFonts w:ascii="Calibri" w:hAnsi="Calibri"/>
        </w:rPr>
        <w:t>…………………………………</w:t>
      </w:r>
    </w:p>
    <w:p w14:paraId="01FC5420" w14:textId="745D6AB5" w:rsidR="00362CD9" w:rsidRPr="00580594" w:rsidRDefault="00362CD9" w:rsidP="00FE5674">
      <w:pPr>
        <w:pStyle w:val="BodyText"/>
        <w:tabs>
          <w:tab w:val="left" w:pos="2835"/>
        </w:tabs>
        <w:rPr>
          <w:rFonts w:ascii="Calibri" w:hAnsi="Calibri"/>
          <w:color w:val="FF0000"/>
        </w:rPr>
      </w:pPr>
      <w:r w:rsidRPr="00580594">
        <w:rPr>
          <w:rFonts w:ascii="Calibri" w:hAnsi="Calibri"/>
          <w:b/>
          <w:bCs/>
          <w:color w:val="00558C"/>
          <w:sz w:val="24"/>
          <w:szCs w:val="24"/>
        </w:rPr>
        <w:t>Author(s)</w:t>
      </w:r>
      <w:r w:rsidR="00FE5674" w:rsidRPr="00580594">
        <w:rPr>
          <w:rFonts w:ascii="Calibri" w:hAnsi="Calibri"/>
          <w:b/>
          <w:bCs/>
          <w:color w:val="00558C"/>
          <w:sz w:val="24"/>
          <w:szCs w:val="24"/>
        </w:rPr>
        <w:t>/Submitter(s)</w:t>
      </w:r>
      <w:r w:rsidRPr="00580594">
        <w:rPr>
          <w:rFonts w:ascii="Calibri" w:hAnsi="Calibri"/>
        </w:rPr>
        <w:tab/>
      </w:r>
      <w:r w:rsidR="0080294B" w:rsidRPr="00580594">
        <w:rPr>
          <w:rFonts w:ascii="Calibri" w:hAnsi="Calibri"/>
        </w:rPr>
        <w:tab/>
      </w:r>
      <w:r w:rsidR="0080294B" w:rsidRPr="00580594">
        <w:rPr>
          <w:rFonts w:ascii="Calibri" w:hAnsi="Calibri"/>
        </w:rPr>
        <w:tab/>
        <w:t>……</w:t>
      </w:r>
      <w:r w:rsidR="00774EDB" w:rsidRPr="00580594">
        <w:rPr>
          <w:rFonts w:ascii="Calibri" w:hAnsi="Calibri"/>
        </w:rPr>
        <w:t>Alwyn Williams</w:t>
      </w:r>
      <w:r w:rsidR="0080294B" w:rsidRPr="00580594">
        <w:rPr>
          <w:rFonts w:ascii="Calibri" w:hAnsi="Calibri"/>
        </w:rPr>
        <w:t>…………</w:t>
      </w:r>
    </w:p>
    <w:p w14:paraId="60BCC120" w14:textId="39D2D195" w:rsidR="0080294B" w:rsidRPr="00580594" w:rsidRDefault="00774730" w:rsidP="00C02DDD">
      <w:pPr>
        <w:pStyle w:val="BodyText"/>
        <w:tabs>
          <w:tab w:val="left" w:pos="7860"/>
        </w:tabs>
        <w:rPr>
          <w:rFonts w:ascii="Calibri" w:hAnsi="Calibri"/>
        </w:rPr>
      </w:pPr>
      <w:r w:rsidRPr="00580594">
        <w:rPr>
          <w:rFonts w:ascii="Calibri" w:hAnsi="Calibri"/>
        </w:rPr>
        <w:tab/>
      </w:r>
    </w:p>
    <w:p w14:paraId="4834080C" w14:textId="23F2098B" w:rsidR="00A446C9" w:rsidRPr="00580594" w:rsidRDefault="00774EDB" w:rsidP="0035243F">
      <w:pPr>
        <w:pStyle w:val="Title"/>
      </w:pPr>
      <w:r w:rsidRPr="00580594">
        <w:t>Review of Cone Fundamentals and Its Effect on Calcualted Intensity of Measured Lights</w:t>
      </w:r>
    </w:p>
    <w:p w14:paraId="763E8B77" w14:textId="77777777" w:rsidR="00774EDB" w:rsidRPr="00580594" w:rsidRDefault="00A446C9" w:rsidP="00B56BDF">
      <w:pPr>
        <w:pStyle w:val="Heading1"/>
      </w:pPr>
      <w:r w:rsidRPr="00580594">
        <w:t>Summary</w:t>
      </w:r>
    </w:p>
    <w:p w14:paraId="4E12312E" w14:textId="13FF42FF" w:rsidR="00774EDB" w:rsidRPr="00580594" w:rsidRDefault="00774EDB" w:rsidP="00774EDB">
      <w:pPr>
        <w:pStyle w:val="BodyText"/>
      </w:pPr>
      <w:r w:rsidRPr="00580594">
        <w:t>On 3</w:t>
      </w:r>
      <w:r w:rsidRPr="00580594">
        <w:rPr>
          <w:vertAlign w:val="superscript"/>
        </w:rPr>
        <w:t>rd</w:t>
      </w:r>
      <w:r w:rsidRPr="00580594">
        <w:t xml:space="preserve"> June 2024, a workshop to celebrate the 100-year anniversary of the adoption of </w:t>
      </w:r>
      <m:oMath>
        <m:r>
          <w:rPr>
            <w:rFonts w:ascii="Cambria Math" w:hAnsi="Cambria Math"/>
          </w:rPr>
          <m:t>V(</m:t>
        </m:r>
        <m:r>
          <w:rPr>
            <w:rFonts w:ascii="Cambria Math" w:hAnsi="Cambria Math" w:cstheme="minorHAnsi"/>
          </w:rPr>
          <m:t>λ</m:t>
        </m:r>
        <m:r>
          <w:rPr>
            <w:rFonts w:ascii="Cambria Math" w:hAnsi="Cambria Math"/>
          </w:rPr>
          <m:t>)</m:t>
        </m:r>
      </m:oMath>
      <w:r w:rsidRPr="00580594">
        <w:t xml:space="preserve"> was </w:t>
      </w:r>
      <w:r w:rsidR="00242F1F" w:rsidRPr="00580594">
        <w:t xml:space="preserve">held </w:t>
      </w:r>
      <w:r w:rsidRPr="00580594">
        <w:t xml:space="preserve">by the International Commission on Illumination (CIE) and Consultative Committee for Photometry and Radiometry (CCPR). Held at the BIPM, Paris, France, it gave an opportunity for the attendees to </w:t>
      </w:r>
      <w:r w:rsidR="00FF24A5" w:rsidRPr="00580594">
        <w:t>review</w:t>
      </w:r>
      <w:r w:rsidRPr="00580594">
        <w:t xml:space="preserve"> the history of the </w:t>
      </w:r>
      <w:r w:rsidR="00FF24A5" w:rsidRPr="00580594">
        <w:t>function and</w:t>
      </w:r>
      <w:r w:rsidRPr="00580594">
        <w:t xml:space="preserve"> </w:t>
      </w:r>
      <w:r w:rsidR="00FF24A5" w:rsidRPr="00580594">
        <w:t xml:space="preserve">get an understanding of </w:t>
      </w:r>
      <w:r w:rsidRPr="00580594">
        <w:t>the fundamental change that might happen in the relatively near future.</w:t>
      </w:r>
    </w:p>
    <w:p w14:paraId="55F0EDAB" w14:textId="5139E828" w:rsidR="00774EDB" w:rsidRPr="00580594" w:rsidRDefault="00FF24A5" w:rsidP="00B56BDF">
      <w:pPr>
        <w:pStyle w:val="BodyText"/>
      </w:pPr>
      <w:r w:rsidRPr="00580594">
        <w:t>It is proposed that</w:t>
      </w:r>
      <w:r w:rsidR="00774EDB" w:rsidRPr="00580594">
        <w:t xml:space="preserve"> the fundamental colour matching functions used in photometry and colorimetry would be modified to align with </w:t>
      </w:r>
      <w:r w:rsidRPr="00580594">
        <w:t>the results of relatively recent experiments</w:t>
      </w:r>
      <w:r w:rsidR="00774EDB" w:rsidRPr="00580594">
        <w:t xml:space="preserve">. The change is often called “cone fundamentals” because the functions </w:t>
      </w:r>
      <w:r w:rsidRPr="00580594">
        <w:t xml:space="preserve">are said to </w:t>
      </w:r>
      <w:r w:rsidR="00774EDB" w:rsidRPr="00580594">
        <w:t xml:space="preserve">more accurately match how the human visual system operates in practice. </w:t>
      </w:r>
    </w:p>
    <w:p w14:paraId="19E4EBF2" w14:textId="42B9E802" w:rsidR="00774EDB" w:rsidRPr="00580594" w:rsidRDefault="00774EDB" w:rsidP="00B56BDF">
      <w:pPr>
        <w:pStyle w:val="BodyText"/>
      </w:pPr>
      <w:r w:rsidRPr="00580594">
        <w:t xml:space="preserve">The change is not without controversy, and CIE are putting together a research group to investigate the impact of such a change on the industry. It was said that the earliest time that the research group would report back is five years, meaning that there is no immediate change expected. Even then, it is expected that the change to cone fundamentals </w:t>
      </w:r>
      <w:r w:rsidR="00242F1F" w:rsidRPr="00580594">
        <w:t>will</w:t>
      </w:r>
      <w:r w:rsidRPr="00580594">
        <w:t xml:space="preserve"> be a gradual one. </w:t>
      </w:r>
    </w:p>
    <w:p w14:paraId="0042361B" w14:textId="07ADD470" w:rsidR="00774EDB" w:rsidRPr="00580594" w:rsidRDefault="00774EDB" w:rsidP="00B56BDF">
      <w:pPr>
        <w:pStyle w:val="BodyText"/>
      </w:pPr>
      <w:r w:rsidRPr="00580594">
        <w:t xml:space="preserve">This paper is </w:t>
      </w:r>
      <w:r w:rsidR="00866C12" w:rsidRPr="00580594">
        <w:t xml:space="preserve">a briefing to IALA members on the possible future of photometry, and to quantify </w:t>
      </w:r>
      <w:r w:rsidR="00477E26" w:rsidRPr="00580594">
        <w:t xml:space="preserve">some </w:t>
      </w:r>
      <w:r w:rsidR="00866C12" w:rsidRPr="00580594">
        <w:t>changes that could be seen after the changes are implemented.</w:t>
      </w:r>
    </w:p>
    <w:p w14:paraId="42657E4F" w14:textId="46FAAE43" w:rsidR="00774EDB" w:rsidRPr="00580594" w:rsidRDefault="00D05385" w:rsidP="00866C12">
      <w:pPr>
        <w:pStyle w:val="Heading1"/>
      </w:pPr>
      <w:r w:rsidRPr="00580594">
        <w:t>Cone Fundamentals</w:t>
      </w:r>
    </w:p>
    <w:p w14:paraId="4108BB9E" w14:textId="7FD44361" w:rsidR="00B05D28" w:rsidRPr="00580594" w:rsidRDefault="00866C12" w:rsidP="00B56BDF">
      <w:pPr>
        <w:pStyle w:val="BodyText"/>
        <w:rPr>
          <w:rFonts w:ascii="Calibri" w:hAnsi="Calibri"/>
        </w:rPr>
      </w:pPr>
      <w:r w:rsidRPr="00580594">
        <w:rPr>
          <w:rFonts w:ascii="Calibri" w:hAnsi="Calibri"/>
        </w:rPr>
        <w:t>Photometry and colorimetry rely on a set of functions known as the colour match</w:t>
      </w:r>
      <w:r w:rsidR="00615CB2" w:rsidRPr="00580594">
        <w:rPr>
          <w:rFonts w:ascii="Calibri" w:hAnsi="Calibri"/>
        </w:rPr>
        <w:t>ing</w:t>
      </w:r>
      <w:r w:rsidRPr="00580594">
        <w:rPr>
          <w:rFonts w:ascii="Calibri" w:hAnsi="Calibri"/>
        </w:rPr>
        <w:t xml:space="preserve"> functions (CMFs). These functions are derived from experiments that attempt to quantify the spectral response of the human visual system. There are three functions which broadly relate to the three types of photoreceptor cells in the human eye known as cones. The functions </w:t>
      </w:r>
      <w:r w:rsidR="0066045E" w:rsidRPr="00580594">
        <w:rPr>
          <w:rFonts w:ascii="Calibri" w:hAnsi="Calibri"/>
        </w:rPr>
        <w:t xml:space="preserve">commonly </w:t>
      </w:r>
      <w:r w:rsidRPr="00580594">
        <w:rPr>
          <w:rFonts w:ascii="Calibri" w:hAnsi="Calibri"/>
        </w:rPr>
        <w:t>referred to as</w:t>
      </w:r>
      <w:r w:rsidR="00B05D28" w:rsidRPr="00580594">
        <w:rPr>
          <w:rFonts w:ascii="Calibri" w:hAnsi="Calibri"/>
        </w:rPr>
        <w:t xml:space="preserve"> </w:t>
      </w:r>
      <m:oMath>
        <m:r>
          <w:rPr>
            <w:rFonts w:ascii="Cambria Math" w:hAnsi="Cambria Math"/>
          </w:rPr>
          <m:t>X</m:t>
        </m:r>
      </m:oMath>
      <w:r w:rsidRPr="00580594">
        <w:rPr>
          <w:rFonts w:ascii="Calibri" w:hAnsi="Calibri"/>
        </w:rPr>
        <w:t>,</w:t>
      </w:r>
      <w:r w:rsidR="00B05D28" w:rsidRPr="00580594">
        <w:rPr>
          <w:rFonts w:ascii="Calibri" w:hAnsi="Calibri"/>
        </w:rPr>
        <w:t xml:space="preserve"> </w:t>
      </w:r>
      <m:oMath>
        <m:r>
          <w:rPr>
            <w:rFonts w:ascii="Cambria Math" w:hAnsi="Cambria Math"/>
          </w:rPr>
          <m:t>Y</m:t>
        </m:r>
      </m:oMath>
      <w:r w:rsidR="00B05D28" w:rsidRPr="00580594">
        <w:rPr>
          <w:rFonts w:ascii="Calibri" w:eastAsiaTheme="minorEastAsia" w:hAnsi="Calibri"/>
        </w:rPr>
        <w:t xml:space="preserve"> and </w:t>
      </w:r>
      <m:oMath>
        <m:r>
          <w:rPr>
            <w:rFonts w:ascii="Cambria Math" w:hAnsi="Cambria Math"/>
          </w:rPr>
          <m:t>Z</m:t>
        </m:r>
      </m:oMath>
      <w:r w:rsidR="0066045E" w:rsidRPr="00580594">
        <w:rPr>
          <w:rFonts w:ascii="Calibri" w:eastAsiaTheme="minorEastAsia" w:hAnsi="Calibri"/>
        </w:rPr>
        <w:t>,</w:t>
      </w:r>
      <w:r w:rsidRPr="00580594">
        <w:rPr>
          <w:rFonts w:ascii="Calibri" w:hAnsi="Calibri"/>
        </w:rPr>
        <w:t xml:space="preserve"> and are well defined by CIE for the wavelength range of 3</w:t>
      </w:r>
      <w:r w:rsidR="00B05D28" w:rsidRPr="00580594">
        <w:rPr>
          <w:rFonts w:ascii="Calibri" w:hAnsi="Calibri"/>
        </w:rPr>
        <w:t>8</w:t>
      </w:r>
      <w:r w:rsidRPr="00580594">
        <w:rPr>
          <w:rFonts w:ascii="Calibri" w:hAnsi="Calibri"/>
        </w:rPr>
        <w:t xml:space="preserve">0 to </w:t>
      </w:r>
      <w:r w:rsidR="00B05D28" w:rsidRPr="00580594">
        <w:rPr>
          <w:rFonts w:ascii="Calibri" w:hAnsi="Calibri"/>
        </w:rPr>
        <w:t>78</w:t>
      </w:r>
      <w:r w:rsidRPr="00580594">
        <w:rPr>
          <w:rFonts w:ascii="Calibri" w:hAnsi="Calibri"/>
        </w:rPr>
        <w:t xml:space="preserve">0 nm </w:t>
      </w:r>
      <w:r w:rsidRPr="00580594">
        <w:fldChar w:fldCharType="begin"/>
      </w:r>
      <w:r w:rsidRPr="00580594">
        <w:instrText xml:space="preserve"> ADDIN ZOTERO_ITEM CSL_CITATION {"citationID":"IX3YeG1F","properties":{"formattedCitation":"[1]","plainCitation":"[1]","noteIndex":0},"citationItems":[{"id":1273,"uris":["http://zotero.org/groups/2590336/items/MXJR2M9W"],"itemData":{"id":1273,"type":"report","abstract":"This Technical Report has been prepared by CIE Technical Committee 1-85 of Division 1 Colour and Vision? and has been approved by the Board of Administration as well as by Division 1 of the Commission Internationale de l'Eclairage. This publication provides the recommendations of the CIE concerning colorimetry. Specifically, it includes the use of the standard colorimetric observers and standard illuminants, the reference standard for reflectance, the illuminating and viewing conditions, the calculation of tristimulus values, chromaticity coordinates, colour space coordinates and colour differences and various other colorimetric practices and formulae. -\\n--\\n-As a new feature, the publication also includes further details of advanced colorimetry, including colour appearance models, and new findings on cone-fundamental-based tristimulus functions, with appropriate references to other CIE publications. Additionally, new illuminants for different LED types are introduced.-\\n--\\n-Tables of the data used in this report are made electronically available for purchasers of this publication via respective download links within the document.-\\n--\\n-This publication is consistent with the fundamental data and procedures described in the CIE International Standards on colorimetry. -\\n--\\n-For further details of some of the phenomena discussed in the document the reader is directed to the appropriate CIE Technical Reports.-\\n--\\n-This report replaces CIE 15:2004 ?Colorimetry, 3rd Edition?. The publication is written in English, with a short summary in French and German. Keywords: Colorimetry, Colour of Objects, Colour Vision, Perception of Colour","event-place":"Vienna, Austria","language":"en","note":"ISBN: 9783902842138\nDOI: 10.25039/TR.015.2018","publisher":"International Commission on Illumination (CIE)","publisher-place":"Vienna, Austria","source":"DOI.org (Crossref)","title":"CIE 015:2018 Colorimetry, 4th Edition","title-short":"CIE 015","URL":"https://cie.co.at/publications/colorimetry-4th-edition","author":[{"literal":"CIE TC 1-85"}],"accessed":{"date-parts":[["2023",3,24]]},"issued":{"date-parts":[["2018"]]}}}],"schema":"https://github.com/citation-style-language/schema/raw/master/csl-citation.json"} </w:instrText>
      </w:r>
      <w:r w:rsidRPr="00580594">
        <w:fldChar w:fldCharType="separate"/>
      </w:r>
      <w:r w:rsidRPr="00580594">
        <w:rPr>
          <w:rFonts w:ascii="Calibri" w:hAnsi="Calibri" w:cs="Calibri"/>
          <w:sz w:val="18"/>
        </w:rPr>
        <w:t>[1]</w:t>
      </w:r>
      <w:r w:rsidRPr="00580594">
        <w:fldChar w:fldCharType="end"/>
      </w:r>
      <w:r w:rsidRPr="00580594">
        <w:rPr>
          <w:rFonts w:ascii="Calibri" w:hAnsi="Calibri"/>
        </w:rPr>
        <w:t>.</w:t>
      </w:r>
      <w:r w:rsidR="00B05D28" w:rsidRPr="00580594">
        <w:rPr>
          <w:rFonts w:ascii="Calibri" w:hAnsi="Calibri"/>
        </w:rPr>
        <w:t xml:space="preserve"> The functions have been deduced such that the </w:t>
      </w:r>
      <m:oMath>
        <m:r>
          <w:rPr>
            <w:rFonts w:ascii="Cambria Math" w:hAnsi="Cambria Math"/>
          </w:rPr>
          <m:t>Y</m:t>
        </m:r>
      </m:oMath>
      <w:r w:rsidR="00615CB2" w:rsidRPr="00580594">
        <w:rPr>
          <w:rFonts w:ascii="Calibri" w:eastAsiaTheme="minorEastAsia" w:hAnsi="Calibri"/>
        </w:rPr>
        <w:t xml:space="preserve"> function</w:t>
      </w:r>
      <w:r w:rsidR="00B05D28" w:rsidRPr="00580594">
        <w:rPr>
          <w:rFonts w:ascii="Calibri" w:eastAsiaTheme="minorEastAsia" w:hAnsi="Calibri"/>
        </w:rPr>
        <w:t xml:space="preserve"> is the same as the </w:t>
      </w:r>
      <m:oMath>
        <m:r>
          <w:rPr>
            <w:rFonts w:ascii="Cambria Math" w:eastAsiaTheme="minorEastAsia" w:hAnsi="Cambria Math"/>
          </w:rPr>
          <m:t>V</m:t>
        </m:r>
        <m:d>
          <m:dPr>
            <m:ctrlPr>
              <w:rPr>
                <w:rFonts w:ascii="Cambria Math" w:eastAsiaTheme="minorEastAsia" w:hAnsi="Cambria Math"/>
                <w:i/>
              </w:rPr>
            </m:ctrlPr>
          </m:dPr>
          <m:e>
            <m:r>
              <w:rPr>
                <w:rFonts w:ascii="Cambria Math" w:eastAsiaTheme="minorEastAsia" w:hAnsi="Cambria Math"/>
              </w:rPr>
              <m:t>λ</m:t>
            </m:r>
          </m:e>
        </m:d>
      </m:oMath>
      <w:r w:rsidR="003B0D25" w:rsidRPr="00580594">
        <w:rPr>
          <w:rFonts w:ascii="Calibri" w:eastAsiaTheme="minorEastAsia" w:hAnsi="Calibri"/>
        </w:rPr>
        <w:t xml:space="preserve"> </w:t>
      </w:r>
      <w:r w:rsidR="0066045E" w:rsidRPr="00580594">
        <w:rPr>
          <w:rFonts w:ascii="Calibri" w:eastAsiaTheme="minorEastAsia" w:hAnsi="Calibri"/>
        </w:rPr>
        <w:t xml:space="preserve">spectral luminous efficiency </w:t>
      </w:r>
      <w:r w:rsidR="003B0D25" w:rsidRPr="00580594">
        <w:rPr>
          <w:rFonts w:ascii="Calibri" w:eastAsiaTheme="minorEastAsia" w:hAnsi="Calibri"/>
        </w:rPr>
        <w:t>function used to define the terms in photometry.</w:t>
      </w:r>
      <w:r w:rsidR="00B05D28" w:rsidRPr="00580594">
        <w:rPr>
          <w:rFonts w:ascii="Calibri" w:hAnsi="Calibri"/>
        </w:rPr>
        <w:t xml:space="preserve"> </w:t>
      </w:r>
    </w:p>
    <w:p w14:paraId="2E7896A3" w14:textId="17B8E9ED" w:rsidR="00D05385" w:rsidRPr="00580594" w:rsidRDefault="00B05D28" w:rsidP="00B56BDF">
      <w:pPr>
        <w:pStyle w:val="BodyText"/>
        <w:rPr>
          <w:rFonts w:ascii="Calibri" w:hAnsi="Calibri"/>
        </w:rPr>
      </w:pPr>
      <w:r w:rsidRPr="00580594">
        <w:rPr>
          <w:rFonts w:ascii="Calibri" w:hAnsi="Calibri"/>
        </w:rPr>
        <w:t>There are two sets of functions for different types of observations: the 2-degree and 10-degree observer.</w:t>
      </w:r>
      <w:r w:rsidR="00FF24A5" w:rsidRPr="00580594">
        <w:rPr>
          <w:rFonts w:ascii="Calibri" w:hAnsi="Calibri"/>
        </w:rPr>
        <w:t xml:space="preserve"> </w:t>
      </w:r>
      <w:r w:rsidRPr="00580594">
        <w:rPr>
          <w:rFonts w:ascii="Calibri" w:hAnsi="Calibri"/>
        </w:rPr>
        <w:t xml:space="preserve">For the purposes of this paper, we shall focus on the 2-degree observer as this is applicable for viewing marine AtoN lights. However, the principles also apply to 10-degree observer. </w:t>
      </w:r>
    </w:p>
    <w:p w14:paraId="1C987092" w14:textId="035AE453" w:rsidR="0066045E" w:rsidRPr="00580594" w:rsidRDefault="00B05D28" w:rsidP="00B56BDF">
      <w:pPr>
        <w:pStyle w:val="BodyText"/>
        <w:rPr>
          <w:rFonts w:ascii="Calibri" w:hAnsi="Calibri"/>
        </w:rPr>
      </w:pPr>
      <w:r w:rsidRPr="00580594">
        <w:rPr>
          <w:rFonts w:ascii="Calibri" w:hAnsi="Calibri"/>
        </w:rPr>
        <w:t xml:space="preserve">Since </w:t>
      </w:r>
      <w:r w:rsidR="00615CB2" w:rsidRPr="00580594">
        <w:rPr>
          <w:rFonts w:ascii="Calibri" w:hAnsi="Calibri"/>
        </w:rPr>
        <w:t>2006</w:t>
      </w:r>
      <w:r w:rsidRPr="00580594">
        <w:rPr>
          <w:rFonts w:ascii="Calibri" w:hAnsi="Calibri"/>
        </w:rPr>
        <w:t>, CIE have published a revised set of CMFs that are derived from “cone fundamentals” experiments</w:t>
      </w:r>
      <w:r w:rsidR="00615CB2" w:rsidRPr="00580594">
        <w:rPr>
          <w:rFonts w:ascii="Calibri" w:hAnsi="Calibri"/>
        </w:rPr>
        <w:t xml:space="preserve"> </w:t>
      </w:r>
      <w:r w:rsidR="00615CB2" w:rsidRPr="00580594">
        <w:rPr>
          <w:rFonts w:ascii="Calibri" w:hAnsi="Calibri"/>
        </w:rPr>
        <w:fldChar w:fldCharType="begin"/>
      </w:r>
      <w:r w:rsidR="00310DBE">
        <w:rPr>
          <w:rFonts w:ascii="Calibri" w:hAnsi="Calibri"/>
        </w:rPr>
        <w:instrText xml:space="preserve"> ADDIN ZOTERO_ITEM CSL_CITATION {"citationID":"yAKVCWYO","properties":{"formattedCitation":"[2], [3]","plainCitation":"[2], [3]","noteIndex":0},"citationItems":[{"id":1368,"uris":["http://zotero.org/groups/2590336/items/GGBH7DEU"],"itemData":{"id":1368,"type":"report","event-place":"Vienna, Austria","genre":"Technical Report","note":"ISBN 978-3-901906-46-6\nDOI: 10.25039/tr.170-1.2006","publisher":"CIE","publisher-place":"Vienna, Austria","title":"CIE 170-1:2006 Fundamental Chromaticity Diagram with Physiological Axes – Part 1","title-short":"CIE 170-1","author":[{"literal":"CIE TC 1-36"}],"issued":{"date-parts":[["2006"]]}}},{"id":1373,"uris":["http://zotero.org/groups/2590336/items/GSNHN475"],"itemData":{"id":1373,"type":"article-journal","abstract":"A knowledge of the spectral sensitivities of the long-wavelength-sensitive (L-), middle-wavelength-sensitive (M-) and short-wavelength-sensitive (S-) wavelength-sensitive cone types is vital for modelling human color vision and for the practical applications of color matching and color specification. After being agnostic about defining standard cone spectral sensitivities, the Commission Internationale de l’ Éclairage (CIE) has sanctioned the cone spectral sensitivity estimates of Stockman and Sharpe (2000) and the associated measures of luminous efficiency (Sharpe et al., 2005, 2011) as ‘physiologically relevant’ standards for color vision (CIE, 2006, 2015). These can be used to model mean normal color vision at the photoreceptor level and postreceptorally. Both LMS and XYZ versions have been defined for 2-deg and 10-deg vision. Built into the standards are corrections for individual differences in macular and lens pigment densities, but individual differences in photopigment optical density and the spectral position of the cone photopigments can also be accommodated (Stockman and Sharpe, 1999; Brainard and Stockman, 2010). Understanding the CIE standard and its advantages is of current interest and importance.","container-title":"Visual perception","DOI":"10.1016/j.cobeha.2019.06.005","ISSN":"2352-1546","journalAbbreviation":"Current Opinion in Behavioral Sciences","page":"87-93","title":"Cone fundamentals and CIE standards","volume":"30","author":[{"family":"Stockman","given":"Andrew"}],"issued":{"date-parts":[["2019",12,1]]}}}],"schema":"https://github.com/citation-style-language/schema/raw/master/csl-citation.json"} </w:instrText>
      </w:r>
      <w:r w:rsidR="00615CB2" w:rsidRPr="00580594">
        <w:rPr>
          <w:rFonts w:ascii="Calibri" w:hAnsi="Calibri"/>
        </w:rPr>
        <w:fldChar w:fldCharType="separate"/>
      </w:r>
      <w:r w:rsidR="00B46EEE" w:rsidRPr="00B46EEE">
        <w:rPr>
          <w:rFonts w:ascii="Calibri" w:hAnsi="Calibri" w:cs="Calibri"/>
        </w:rPr>
        <w:t>[2], [3]</w:t>
      </w:r>
      <w:r w:rsidR="00615CB2" w:rsidRPr="00580594">
        <w:rPr>
          <w:rFonts w:ascii="Calibri" w:hAnsi="Calibri"/>
        </w:rPr>
        <w:fldChar w:fldCharType="end"/>
      </w:r>
      <w:r w:rsidRPr="00580594">
        <w:rPr>
          <w:rFonts w:ascii="Calibri" w:hAnsi="Calibri"/>
        </w:rPr>
        <w:t>.</w:t>
      </w:r>
      <w:r w:rsidR="003B0D25" w:rsidRPr="00580594">
        <w:rPr>
          <w:rFonts w:ascii="Calibri" w:hAnsi="Calibri"/>
        </w:rPr>
        <w:t xml:space="preserve"> </w:t>
      </w:r>
      <w:r w:rsidR="0066045E" w:rsidRPr="00580594">
        <w:rPr>
          <w:rFonts w:ascii="Calibri" w:hAnsi="Calibri"/>
        </w:rPr>
        <w:fldChar w:fldCharType="begin"/>
      </w:r>
      <w:r w:rsidR="0066045E" w:rsidRPr="00580594">
        <w:rPr>
          <w:rFonts w:ascii="Calibri" w:hAnsi="Calibri"/>
        </w:rPr>
        <w:instrText xml:space="preserve"> REF _Ref173760802 \r </w:instrText>
      </w:r>
      <w:r w:rsidR="0066045E" w:rsidRPr="00580594">
        <w:rPr>
          <w:rFonts w:ascii="Calibri" w:hAnsi="Calibri"/>
        </w:rPr>
        <w:fldChar w:fldCharType="separate"/>
      </w:r>
      <w:r w:rsidR="0066045E" w:rsidRPr="00580594">
        <w:rPr>
          <w:rFonts w:ascii="Calibri" w:hAnsi="Calibri"/>
        </w:rPr>
        <w:t>Figure 1</w:t>
      </w:r>
      <w:r w:rsidR="0066045E" w:rsidRPr="00580594">
        <w:rPr>
          <w:rFonts w:ascii="Calibri" w:hAnsi="Calibri"/>
        </w:rPr>
        <w:fldChar w:fldCharType="end"/>
      </w:r>
      <w:r w:rsidR="0066045E" w:rsidRPr="00580594">
        <w:rPr>
          <w:rFonts w:ascii="Calibri" w:hAnsi="Calibri"/>
        </w:rPr>
        <w:t xml:space="preserve"> </w:t>
      </w:r>
      <w:r w:rsidR="00615CB2" w:rsidRPr="00580594">
        <w:rPr>
          <w:rFonts w:ascii="Calibri" w:hAnsi="Calibri"/>
        </w:rPr>
        <w:t xml:space="preserve">shows the existing and cone fundamentals CMFs for comparison, with </w:t>
      </w:r>
      <w:r w:rsidR="00615CB2" w:rsidRPr="00580594">
        <w:rPr>
          <w:rFonts w:ascii="Calibri" w:hAnsi="Calibri"/>
        </w:rPr>
        <w:fldChar w:fldCharType="begin"/>
      </w:r>
      <w:r w:rsidR="00615CB2" w:rsidRPr="00580594">
        <w:rPr>
          <w:rFonts w:ascii="Calibri" w:hAnsi="Calibri"/>
        </w:rPr>
        <w:instrText xml:space="preserve"> REF _Ref173760818 \r </w:instrText>
      </w:r>
      <w:r w:rsidR="00615CB2" w:rsidRPr="00580594">
        <w:rPr>
          <w:rFonts w:ascii="Calibri" w:hAnsi="Calibri"/>
        </w:rPr>
        <w:fldChar w:fldCharType="separate"/>
      </w:r>
      <w:r w:rsidR="00615CB2" w:rsidRPr="00580594">
        <w:rPr>
          <w:rFonts w:ascii="Calibri" w:hAnsi="Calibri"/>
        </w:rPr>
        <w:t>Figure 2</w:t>
      </w:r>
      <w:r w:rsidR="00615CB2" w:rsidRPr="00580594">
        <w:rPr>
          <w:rFonts w:ascii="Calibri" w:hAnsi="Calibri"/>
        </w:rPr>
        <w:fldChar w:fldCharType="end"/>
      </w:r>
      <w:r w:rsidR="00615CB2" w:rsidRPr="00580594">
        <w:rPr>
          <w:rFonts w:ascii="Calibri" w:hAnsi="Calibri"/>
        </w:rPr>
        <w:t xml:space="preserve"> quantifying the differences relative to the existing CMF</w:t>
      </w:r>
      <w:r w:rsidR="003B0D25" w:rsidRPr="00580594">
        <w:rPr>
          <w:rFonts w:ascii="Calibri" w:hAnsi="Calibri"/>
        </w:rPr>
        <w:t>.</w:t>
      </w:r>
      <w:r w:rsidR="0066045E" w:rsidRPr="00580594">
        <w:rPr>
          <w:rFonts w:ascii="Calibri" w:hAnsi="Calibri"/>
        </w:rPr>
        <w:t xml:space="preserve"> It should be noted that CMF derived from cone fundamentals </w:t>
      </w:r>
      <w:r w:rsidR="0066045E" w:rsidRPr="00580594">
        <w:rPr>
          <w:rFonts w:ascii="Calibri" w:hAnsi="Calibri"/>
        </w:rPr>
        <w:lastRenderedPageBreak/>
        <w:t>are not defined below 390 nm, and the analysis is truncated at 780 nm to enable direct comparison with the existing CMFs.</w:t>
      </w:r>
    </w:p>
    <w:p w14:paraId="22FA13ED" w14:textId="77777777" w:rsidR="0066045E" w:rsidRPr="00580594" w:rsidRDefault="0066045E" w:rsidP="00B56BDF">
      <w:pPr>
        <w:pStyle w:val="BodyText"/>
        <w:rPr>
          <w:rFonts w:ascii="Calibri" w:hAnsi="Calibri"/>
        </w:rPr>
      </w:pPr>
    </w:p>
    <w:p w14:paraId="682B1CC7" w14:textId="77777777" w:rsidR="0066045E" w:rsidRPr="00580594" w:rsidRDefault="0066045E" w:rsidP="0066045E">
      <w:pPr>
        <w:pStyle w:val="BodyText"/>
        <w:keepNext/>
        <w:jc w:val="center"/>
      </w:pPr>
      <w:r w:rsidRPr="00580594">
        <w:rPr>
          <w:noProof/>
        </w:rPr>
        <w:drawing>
          <wp:inline distT="0" distB="0" distL="0" distR="0" wp14:anchorId="5B947E09" wp14:editId="5A66F795">
            <wp:extent cx="5869627" cy="3356127"/>
            <wp:effectExtent l="0" t="0" r="0" b="0"/>
            <wp:docPr id="2997254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725466" name=""/>
                    <pic:cNvPicPr/>
                  </pic:nvPicPr>
                  <pic:blipFill>
                    <a:blip r:embed="rId11"/>
                    <a:stretch>
                      <a:fillRect/>
                    </a:stretch>
                  </pic:blipFill>
                  <pic:spPr>
                    <a:xfrm>
                      <a:off x="0" y="0"/>
                      <a:ext cx="5882819" cy="3363670"/>
                    </a:xfrm>
                    <a:prstGeom prst="rect">
                      <a:avLst/>
                    </a:prstGeom>
                  </pic:spPr>
                </pic:pic>
              </a:graphicData>
            </a:graphic>
          </wp:inline>
        </w:drawing>
      </w:r>
    </w:p>
    <w:p w14:paraId="4522DBE0" w14:textId="4B90B93E" w:rsidR="003B0D25" w:rsidRPr="00580594" w:rsidRDefault="0066045E" w:rsidP="0066045E">
      <w:pPr>
        <w:pStyle w:val="AnnexFigureCaption"/>
        <w:rPr>
          <w:rFonts w:ascii="Calibri" w:hAnsi="Calibri"/>
        </w:rPr>
      </w:pPr>
      <w:bookmarkStart w:id="1" w:name="_Ref173760802"/>
      <w:r w:rsidRPr="00580594">
        <w:t>Existing tristimulus CMFs (dotted line), and the tristimulus CMFs based on cone fundamentals (solid line).</w:t>
      </w:r>
      <w:bookmarkEnd w:id="1"/>
    </w:p>
    <w:p w14:paraId="75CB6C62" w14:textId="77777777" w:rsidR="0066045E" w:rsidRPr="00580594" w:rsidRDefault="0066045E" w:rsidP="0066045E">
      <w:pPr>
        <w:pStyle w:val="BodyText"/>
        <w:keepNext/>
        <w:jc w:val="center"/>
      </w:pPr>
      <w:r w:rsidRPr="00580594">
        <w:rPr>
          <w:noProof/>
        </w:rPr>
        <w:drawing>
          <wp:inline distT="0" distB="0" distL="0" distR="0" wp14:anchorId="5535B08D" wp14:editId="03F8E360">
            <wp:extent cx="6012326" cy="2832068"/>
            <wp:effectExtent l="0" t="0" r="7620" b="6985"/>
            <wp:docPr id="17211114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111478" name=""/>
                    <pic:cNvPicPr/>
                  </pic:nvPicPr>
                  <pic:blipFill>
                    <a:blip r:embed="rId12"/>
                    <a:stretch>
                      <a:fillRect/>
                    </a:stretch>
                  </pic:blipFill>
                  <pic:spPr>
                    <a:xfrm>
                      <a:off x="0" y="0"/>
                      <a:ext cx="6030292" cy="2840531"/>
                    </a:xfrm>
                    <a:prstGeom prst="rect">
                      <a:avLst/>
                    </a:prstGeom>
                  </pic:spPr>
                </pic:pic>
              </a:graphicData>
            </a:graphic>
          </wp:inline>
        </w:drawing>
      </w:r>
    </w:p>
    <w:p w14:paraId="1FBCB3D7" w14:textId="7F37220F" w:rsidR="003B0D25" w:rsidRPr="00580594" w:rsidRDefault="0066045E" w:rsidP="0066045E">
      <w:pPr>
        <w:pStyle w:val="AnnexFigureCaption"/>
        <w:rPr>
          <w:rFonts w:ascii="Calibri" w:hAnsi="Calibri"/>
        </w:rPr>
      </w:pPr>
      <w:bookmarkStart w:id="2" w:name="_Ref173760818"/>
      <w:r w:rsidRPr="00580594">
        <w:t>Difference between the existing and cone fundamental CMFs</w:t>
      </w:r>
      <w:bookmarkEnd w:id="2"/>
    </w:p>
    <w:p w14:paraId="1B832D15" w14:textId="30B9009C" w:rsidR="003B0D25" w:rsidRPr="00580594" w:rsidRDefault="0066045E" w:rsidP="00B56BDF">
      <w:pPr>
        <w:pStyle w:val="BodyText"/>
        <w:rPr>
          <w:rFonts w:ascii="Calibri" w:hAnsi="Calibri"/>
        </w:rPr>
      </w:pPr>
      <w:r w:rsidRPr="00580594">
        <w:rPr>
          <w:rFonts w:ascii="Calibri" w:hAnsi="Calibri"/>
        </w:rPr>
        <w:t xml:space="preserve">As can be seen from the two figures, there are significant differences between the two sets of CMFs, most notably in the shorter wavelengths. In these areas, the eye response is found to be more sensitive to those wavelengths than the original CMFs accounted for. Indeed, at some shorter wavelengths, the new </w:t>
      </w:r>
      <m:oMath>
        <m:r>
          <w:rPr>
            <w:rFonts w:ascii="Cambria Math" w:hAnsi="Cambria Math"/>
          </w:rPr>
          <m:t>Y</m:t>
        </m:r>
      </m:oMath>
      <w:r w:rsidRPr="00580594">
        <w:rPr>
          <w:rFonts w:ascii="Calibri" w:hAnsi="Calibri"/>
        </w:rPr>
        <w:t xml:space="preserve"> function </w:t>
      </w:r>
      <w:r w:rsidR="00FF24A5" w:rsidRPr="00580594">
        <w:rPr>
          <w:rFonts w:ascii="Calibri" w:hAnsi="Calibri"/>
        </w:rPr>
        <w:t>implies</w:t>
      </w:r>
      <w:r w:rsidRPr="00580594">
        <w:rPr>
          <w:rFonts w:ascii="Calibri" w:hAnsi="Calibri"/>
        </w:rPr>
        <w:t xml:space="preserve"> an increase in responsivity by a factor of about seven times.</w:t>
      </w:r>
      <w:r w:rsidRPr="00580594">
        <w:rPr>
          <w:rStyle w:val="FootnoteReference"/>
        </w:rPr>
        <w:footnoteReference w:id="2"/>
      </w:r>
    </w:p>
    <w:p w14:paraId="0F612DA5" w14:textId="7B2AF43D" w:rsidR="00101B29" w:rsidRPr="00580594" w:rsidRDefault="00101B29" w:rsidP="00B56BDF">
      <w:pPr>
        <w:pStyle w:val="BodyText"/>
        <w:rPr>
          <w:rFonts w:ascii="Calibri" w:eastAsiaTheme="minorEastAsia" w:hAnsi="Calibri"/>
        </w:rPr>
      </w:pPr>
      <w:r w:rsidRPr="00580594">
        <w:rPr>
          <w:rFonts w:ascii="Calibri" w:hAnsi="Calibri"/>
        </w:rPr>
        <w:lastRenderedPageBreak/>
        <w:t>The switch to cone fundamentals would affect both colorimetry</w:t>
      </w:r>
      <w:r w:rsidR="001252C7" w:rsidRPr="00580594">
        <w:rPr>
          <w:rFonts w:ascii="Calibri" w:hAnsi="Calibri"/>
        </w:rPr>
        <w:t>,</w:t>
      </w:r>
      <w:r w:rsidRPr="00580594">
        <w:rPr>
          <w:rFonts w:ascii="Calibri" w:hAnsi="Calibri"/>
        </w:rPr>
        <w:t xml:space="preserve"> because the CMF have changed</w:t>
      </w:r>
      <w:r w:rsidR="001252C7" w:rsidRPr="00580594">
        <w:rPr>
          <w:rFonts w:ascii="Calibri" w:hAnsi="Calibri"/>
        </w:rPr>
        <w:t>,</w:t>
      </w:r>
      <w:r w:rsidRPr="00580594">
        <w:rPr>
          <w:rFonts w:ascii="Calibri" w:hAnsi="Calibri"/>
        </w:rPr>
        <w:t xml:space="preserve"> and photometry</w:t>
      </w:r>
      <w:r w:rsidR="001252C7" w:rsidRPr="00580594">
        <w:rPr>
          <w:rFonts w:ascii="Calibri" w:hAnsi="Calibri"/>
        </w:rPr>
        <w:t>,</w:t>
      </w:r>
      <w:r w:rsidRPr="00580594">
        <w:rPr>
          <w:rFonts w:ascii="Calibri" w:hAnsi="Calibri"/>
        </w:rPr>
        <w:t xml:space="preserve"> because </w:t>
      </w:r>
      <m:oMath>
        <m:r>
          <w:rPr>
            <w:rFonts w:ascii="Cambria Math" w:hAnsi="Cambria Math"/>
          </w:rPr>
          <m:t>V</m:t>
        </m:r>
        <m:d>
          <m:dPr>
            <m:ctrlPr>
              <w:rPr>
                <w:rFonts w:ascii="Cambria Math" w:hAnsi="Cambria Math"/>
                <w:i/>
              </w:rPr>
            </m:ctrlPr>
          </m:dPr>
          <m:e>
            <m:r>
              <w:rPr>
                <w:rFonts w:ascii="Cambria Math" w:hAnsi="Cambria Math"/>
              </w:rPr>
              <m:t>λ</m:t>
            </m:r>
          </m:e>
        </m:d>
      </m:oMath>
      <w:r w:rsidRPr="00580594">
        <w:rPr>
          <w:rFonts w:ascii="Calibri" w:eastAsiaTheme="minorEastAsia" w:hAnsi="Calibri"/>
        </w:rPr>
        <w:t xml:space="preserve"> will change to match the</w:t>
      </w:r>
      <w:r w:rsidR="001252C7" w:rsidRPr="00580594">
        <w:rPr>
          <w:rFonts w:ascii="Calibri" w:eastAsiaTheme="minorEastAsia" w:hAnsi="Calibri"/>
        </w:rPr>
        <w:t xml:space="preserve"> </w:t>
      </w:r>
      <m:oMath>
        <m:r>
          <w:rPr>
            <w:rFonts w:ascii="Cambria Math" w:eastAsiaTheme="minorEastAsia" w:hAnsi="Cambria Math"/>
          </w:rPr>
          <m:t>Y</m:t>
        </m:r>
      </m:oMath>
      <w:r w:rsidR="001252C7" w:rsidRPr="00580594">
        <w:rPr>
          <w:rFonts w:ascii="Calibri" w:eastAsiaTheme="minorEastAsia" w:hAnsi="Calibri"/>
        </w:rPr>
        <w:t xml:space="preserve"> function of the</w:t>
      </w:r>
      <w:r w:rsidRPr="00580594">
        <w:rPr>
          <w:rFonts w:ascii="Calibri" w:eastAsiaTheme="minorEastAsia" w:hAnsi="Calibri"/>
        </w:rPr>
        <w:t xml:space="preserve"> new</w:t>
      </w:r>
      <w:r w:rsidR="00EE12BC" w:rsidRPr="00580594">
        <w:rPr>
          <w:rFonts w:ascii="Calibri" w:eastAsiaTheme="minorEastAsia" w:hAnsi="Calibri"/>
        </w:rPr>
        <w:t xml:space="preserve"> cone fundamentals</w:t>
      </w:r>
      <w:r w:rsidRPr="00580594">
        <w:rPr>
          <w:rFonts w:ascii="Calibri" w:eastAsiaTheme="minorEastAsia" w:hAnsi="Calibri"/>
        </w:rPr>
        <w:t xml:space="preserve"> CMF</w:t>
      </w:r>
      <w:r w:rsidR="001252C7" w:rsidRPr="00580594">
        <w:rPr>
          <w:rFonts w:ascii="Calibri" w:eastAsiaTheme="minorEastAsia" w:hAnsi="Calibri"/>
        </w:rPr>
        <w:t>s</w:t>
      </w:r>
      <w:r w:rsidRPr="00580594">
        <w:rPr>
          <w:rFonts w:ascii="Calibri" w:eastAsiaTheme="minorEastAsia" w:hAnsi="Calibri"/>
        </w:rPr>
        <w:t>.</w:t>
      </w:r>
    </w:p>
    <w:p w14:paraId="0E056D43" w14:textId="1F1A087F" w:rsidR="003B0D25" w:rsidRPr="00580594" w:rsidRDefault="00101B29" w:rsidP="00B56BDF">
      <w:pPr>
        <w:pStyle w:val="BodyText"/>
        <w:rPr>
          <w:rFonts w:ascii="Calibri" w:hAnsi="Calibri"/>
        </w:rPr>
      </w:pPr>
      <w:r w:rsidRPr="00580594">
        <w:rPr>
          <w:rFonts w:ascii="Calibri" w:eastAsiaTheme="minorEastAsia" w:hAnsi="Calibri"/>
        </w:rPr>
        <w:t>In this paper, we shall not consider the implications on colour measurements. This need</w:t>
      </w:r>
      <w:r w:rsidR="00EE12BC" w:rsidRPr="00580594">
        <w:rPr>
          <w:rFonts w:ascii="Calibri" w:eastAsiaTheme="minorEastAsia" w:hAnsi="Calibri"/>
        </w:rPr>
        <w:t>s</w:t>
      </w:r>
      <w:r w:rsidRPr="00580594">
        <w:rPr>
          <w:rFonts w:ascii="Calibri" w:eastAsiaTheme="minorEastAsia" w:hAnsi="Calibri"/>
        </w:rPr>
        <w:t xml:space="preserve"> further work</w:t>
      </w:r>
      <w:r w:rsidR="00EE12BC" w:rsidRPr="00580594">
        <w:rPr>
          <w:rFonts w:ascii="Calibri" w:eastAsiaTheme="minorEastAsia" w:hAnsi="Calibri"/>
        </w:rPr>
        <w:t xml:space="preserve"> and understanding</w:t>
      </w:r>
      <w:r w:rsidRPr="00580594">
        <w:rPr>
          <w:rFonts w:ascii="Calibri" w:eastAsiaTheme="minorEastAsia" w:hAnsi="Calibri"/>
        </w:rPr>
        <w:t xml:space="preserve">, </w:t>
      </w:r>
      <w:r w:rsidR="00EE12BC" w:rsidRPr="00580594">
        <w:rPr>
          <w:rFonts w:ascii="Calibri" w:eastAsiaTheme="minorEastAsia" w:hAnsi="Calibri"/>
        </w:rPr>
        <w:t>especially in defining the colour boundaries that IALA uses to determine the suitability of light colour for their signalling system.</w:t>
      </w:r>
      <w:r w:rsidR="00FF24A5" w:rsidRPr="00580594">
        <w:rPr>
          <w:rFonts w:ascii="Calibri" w:eastAsiaTheme="minorEastAsia" w:hAnsi="Calibri"/>
        </w:rPr>
        <w:t xml:space="preserve"> </w:t>
      </w:r>
      <w:r w:rsidR="0061498A" w:rsidRPr="00580594">
        <w:rPr>
          <w:rFonts w:ascii="Calibri" w:eastAsiaTheme="minorEastAsia" w:hAnsi="Calibri"/>
        </w:rPr>
        <w:t>In any case, and a</w:t>
      </w:r>
      <w:r w:rsidR="00FF24A5" w:rsidRPr="00580594">
        <w:rPr>
          <w:rFonts w:ascii="Calibri" w:eastAsiaTheme="minorEastAsia" w:hAnsi="Calibri"/>
        </w:rPr>
        <w:t>s always, IALA should take the lead from CIE on this</w:t>
      </w:r>
      <w:r w:rsidR="0061498A" w:rsidRPr="00580594">
        <w:rPr>
          <w:rFonts w:ascii="Calibri" w:eastAsiaTheme="minorEastAsia" w:hAnsi="Calibri"/>
        </w:rPr>
        <w:t xml:space="preserve"> matter</w:t>
      </w:r>
      <w:r w:rsidR="00FF24A5" w:rsidRPr="00580594">
        <w:rPr>
          <w:rFonts w:ascii="Calibri" w:eastAsiaTheme="minorEastAsia" w:hAnsi="Calibri"/>
        </w:rPr>
        <w:t xml:space="preserve"> </w:t>
      </w:r>
      <w:r w:rsidR="0061498A" w:rsidRPr="00580594">
        <w:rPr>
          <w:rFonts w:ascii="Calibri" w:eastAsiaTheme="minorEastAsia" w:hAnsi="Calibri"/>
        </w:rPr>
        <w:t>if any</w:t>
      </w:r>
      <w:r w:rsidR="00FF24A5" w:rsidRPr="00580594">
        <w:rPr>
          <w:rFonts w:ascii="Calibri" w:eastAsiaTheme="minorEastAsia" w:hAnsi="Calibri"/>
        </w:rPr>
        <w:t xml:space="preserve"> change</w:t>
      </w:r>
      <w:r w:rsidR="0061498A" w:rsidRPr="00580594">
        <w:rPr>
          <w:rFonts w:ascii="Calibri" w:eastAsiaTheme="minorEastAsia" w:hAnsi="Calibri"/>
        </w:rPr>
        <w:t>s</w:t>
      </w:r>
      <w:r w:rsidR="00FF24A5" w:rsidRPr="00580594">
        <w:rPr>
          <w:rFonts w:ascii="Calibri" w:eastAsiaTheme="minorEastAsia" w:hAnsi="Calibri"/>
        </w:rPr>
        <w:t xml:space="preserve"> </w:t>
      </w:r>
      <w:r w:rsidR="0061498A" w:rsidRPr="00580594">
        <w:rPr>
          <w:rFonts w:ascii="Calibri" w:eastAsiaTheme="minorEastAsia" w:hAnsi="Calibri"/>
        </w:rPr>
        <w:t>are</w:t>
      </w:r>
      <w:r w:rsidR="00FF24A5" w:rsidRPr="00580594">
        <w:rPr>
          <w:rFonts w:ascii="Calibri" w:eastAsiaTheme="minorEastAsia" w:hAnsi="Calibri"/>
        </w:rPr>
        <w:t xml:space="preserve"> made.</w:t>
      </w:r>
    </w:p>
    <w:p w14:paraId="6DA8004C" w14:textId="078A22CC" w:rsidR="00D05385" w:rsidRPr="00580594" w:rsidRDefault="00D05385" w:rsidP="00EE12BC">
      <w:pPr>
        <w:pStyle w:val="Heading1"/>
      </w:pPr>
      <w:r w:rsidRPr="00580594">
        <w:t>Effect o</w:t>
      </w:r>
      <w:r w:rsidR="00EE12BC" w:rsidRPr="00580594">
        <w:t>n</w:t>
      </w:r>
      <w:r w:rsidRPr="00580594">
        <w:t xml:space="preserve"> Photometry Measurements</w:t>
      </w:r>
    </w:p>
    <w:p w14:paraId="2C3B7832" w14:textId="555804FD" w:rsidR="00C564DE" w:rsidRPr="00580594" w:rsidRDefault="00EE12BC" w:rsidP="00B56BDF">
      <w:pPr>
        <w:pStyle w:val="BodyText"/>
        <w:rPr>
          <w:rFonts w:ascii="Calibri" w:hAnsi="Calibri"/>
        </w:rPr>
      </w:pPr>
      <w:r w:rsidRPr="00580594">
        <w:rPr>
          <w:rFonts w:ascii="Calibri" w:hAnsi="Calibri"/>
        </w:rPr>
        <w:t xml:space="preserve">Over the years, GRAD have </w:t>
      </w:r>
      <w:r w:rsidR="00C564DE" w:rsidRPr="00580594">
        <w:rPr>
          <w:rFonts w:ascii="Calibri" w:hAnsi="Calibri"/>
        </w:rPr>
        <w:t>built up a considerable database of spectroradiometric measurements of lights tested at their facility, and this was used to understand the impact of the change to cone fundamentals on the calculated luminous intensity. In order to get a broad overview of the different LED light sources used in marine lanterns, th</w:t>
      </w:r>
      <w:r w:rsidR="001252C7" w:rsidRPr="00580594">
        <w:rPr>
          <w:rFonts w:ascii="Calibri" w:hAnsi="Calibri"/>
        </w:rPr>
        <w:t>e author focussed on using data for sector lights</w:t>
      </w:r>
      <w:r w:rsidR="00C564DE" w:rsidRPr="00580594">
        <w:rPr>
          <w:rFonts w:ascii="Calibri" w:hAnsi="Calibri"/>
        </w:rPr>
        <w:t>. Some single-colour lanterns</w:t>
      </w:r>
      <w:r w:rsidR="001252C7" w:rsidRPr="00580594">
        <w:rPr>
          <w:rFonts w:ascii="Calibri" w:hAnsi="Calibri"/>
        </w:rPr>
        <w:t xml:space="preserve"> and bare light sources</w:t>
      </w:r>
      <w:r w:rsidR="00C564DE" w:rsidRPr="00580594">
        <w:rPr>
          <w:rFonts w:ascii="Calibri" w:hAnsi="Calibri"/>
        </w:rPr>
        <w:t xml:space="preserve"> were used to increase the number of samples in the white and red colours as these seem to be the most popular colours in our database.</w:t>
      </w:r>
    </w:p>
    <w:p w14:paraId="7F6A9819" w14:textId="14D7D56C" w:rsidR="00C564DE" w:rsidRPr="00580594" w:rsidRDefault="00C564DE" w:rsidP="00B56BDF">
      <w:pPr>
        <w:pStyle w:val="BodyText"/>
        <w:rPr>
          <w:rFonts w:ascii="Calibri" w:eastAsiaTheme="minorEastAsia" w:hAnsi="Calibri"/>
        </w:rPr>
      </w:pPr>
      <w:r w:rsidRPr="00580594">
        <w:rPr>
          <w:rFonts w:ascii="Calibri" w:hAnsi="Calibri"/>
        </w:rPr>
        <w:t xml:space="preserve">During the comparison, the spectrum of the light was used to calculate the intensity of the light with the existing </w:t>
      </w:r>
      <m:oMath>
        <m:r>
          <w:rPr>
            <w:rFonts w:ascii="Cambria Math" w:hAnsi="Cambria Math"/>
          </w:rPr>
          <m:t>V</m:t>
        </m:r>
        <m:d>
          <m:dPr>
            <m:ctrlPr>
              <w:rPr>
                <w:rFonts w:ascii="Cambria Math" w:hAnsi="Cambria Math"/>
                <w:i/>
              </w:rPr>
            </m:ctrlPr>
          </m:dPr>
          <m:e>
            <m:r>
              <w:rPr>
                <w:rFonts w:ascii="Cambria Math" w:hAnsi="Cambria Math"/>
              </w:rPr>
              <m:t>λ</m:t>
            </m:r>
          </m:e>
        </m:d>
      </m:oMath>
      <w:r w:rsidRPr="00580594">
        <w:rPr>
          <w:rFonts w:ascii="Calibri" w:eastAsiaTheme="minorEastAsia" w:hAnsi="Calibri"/>
        </w:rPr>
        <w:t xml:space="preserve"> function, and a second intensity was calculated using the cone fundamentals </w:t>
      </w:r>
      <m:oMath>
        <m:r>
          <w:rPr>
            <w:rFonts w:ascii="Cambria Math" w:eastAsiaTheme="minorEastAsia" w:hAnsi="Cambria Math"/>
          </w:rPr>
          <m:t>Y</m:t>
        </m:r>
      </m:oMath>
      <w:r w:rsidRPr="00580594">
        <w:rPr>
          <w:rFonts w:ascii="Calibri" w:eastAsiaTheme="minorEastAsia" w:hAnsi="Calibri"/>
        </w:rPr>
        <w:t xml:space="preserve"> </w:t>
      </w:r>
      <w:r w:rsidR="006949F3" w:rsidRPr="00580594">
        <w:rPr>
          <w:rFonts w:ascii="Calibri" w:eastAsiaTheme="minorEastAsia" w:hAnsi="Calibri"/>
        </w:rPr>
        <w:t>function</w:t>
      </w:r>
      <w:r w:rsidRPr="00580594">
        <w:rPr>
          <w:rFonts w:ascii="Calibri" w:eastAsiaTheme="minorEastAsia" w:hAnsi="Calibri"/>
        </w:rPr>
        <w:t xml:space="preserve"> as the weighting function. The results are shown in </w:t>
      </w:r>
      <w:r w:rsidRPr="00580594">
        <w:rPr>
          <w:rFonts w:ascii="Calibri" w:eastAsiaTheme="minorEastAsia" w:hAnsi="Calibri"/>
        </w:rPr>
        <w:fldChar w:fldCharType="begin"/>
      </w:r>
      <w:r w:rsidRPr="00580594">
        <w:rPr>
          <w:rFonts w:ascii="Calibri" w:eastAsiaTheme="minorEastAsia" w:hAnsi="Calibri"/>
        </w:rPr>
        <w:instrText xml:space="preserve"> REF _Ref173763802 \r </w:instrText>
      </w:r>
      <w:r w:rsidRPr="00580594">
        <w:rPr>
          <w:rFonts w:ascii="Calibri" w:eastAsiaTheme="minorEastAsia" w:hAnsi="Calibri"/>
        </w:rPr>
        <w:fldChar w:fldCharType="separate"/>
      </w:r>
      <w:r w:rsidRPr="00580594">
        <w:rPr>
          <w:rFonts w:ascii="Calibri" w:eastAsiaTheme="minorEastAsia" w:hAnsi="Calibri"/>
        </w:rPr>
        <w:t>Table 1</w:t>
      </w:r>
      <w:r w:rsidRPr="00580594">
        <w:rPr>
          <w:rFonts w:ascii="Calibri" w:eastAsiaTheme="minorEastAsia" w:hAnsi="Calibri"/>
        </w:rPr>
        <w:fldChar w:fldCharType="end"/>
      </w:r>
      <w:r w:rsidRPr="00580594">
        <w:rPr>
          <w:rFonts w:ascii="Calibri" w:eastAsiaTheme="minorEastAsia" w:hAnsi="Calibri"/>
        </w:rPr>
        <w:t xml:space="preserve">. </w:t>
      </w:r>
    </w:p>
    <w:p w14:paraId="75D00D42" w14:textId="73656DFB" w:rsidR="00C564DE" w:rsidRPr="00580594" w:rsidRDefault="006949F3" w:rsidP="00C564DE">
      <w:pPr>
        <w:pStyle w:val="Tablecaption"/>
      </w:pPr>
      <w:bookmarkStart w:id="3" w:name="_Ref173763802"/>
      <w:r w:rsidRPr="00580594">
        <w:t>Relative d</w:t>
      </w:r>
      <w:r w:rsidR="00C564DE" w:rsidRPr="00580594">
        <w:t>ifferences between intensities calculated using existing V(</w:t>
      </w:r>
      <w:r w:rsidR="00C564DE" w:rsidRPr="00580594">
        <w:rPr>
          <w:rFonts w:cstheme="minorHAnsi"/>
        </w:rPr>
        <w:t>λ</w:t>
      </w:r>
      <w:r w:rsidR="00C564DE" w:rsidRPr="00580594">
        <w:t>) and the equivalent using cone fundamentals.</w:t>
      </w:r>
      <w:bookmarkEnd w:id="3"/>
    </w:p>
    <w:tbl>
      <w:tblPr>
        <w:tblStyle w:val="TableGrid1"/>
        <w:tblW w:w="4531" w:type="dxa"/>
        <w:jc w:val="center"/>
        <w:tblLook w:val="04A0" w:firstRow="1" w:lastRow="0" w:firstColumn="1" w:lastColumn="0" w:noHBand="0" w:noVBand="1"/>
      </w:tblPr>
      <w:tblGrid>
        <w:gridCol w:w="1129"/>
        <w:gridCol w:w="1134"/>
        <w:gridCol w:w="1134"/>
        <w:gridCol w:w="1134"/>
      </w:tblGrid>
      <w:tr w:rsidR="00C564DE" w:rsidRPr="00580594" w14:paraId="4AB57CC2" w14:textId="77777777" w:rsidTr="00C564DE">
        <w:trPr>
          <w:trHeight w:val="300"/>
          <w:jc w:val="center"/>
        </w:trPr>
        <w:tc>
          <w:tcPr>
            <w:tcW w:w="1129" w:type="dxa"/>
            <w:vMerge w:val="restart"/>
            <w:noWrap/>
            <w:hideMark/>
          </w:tcPr>
          <w:p w14:paraId="5A2DA213" w14:textId="430DBA10" w:rsidR="00C564DE" w:rsidRPr="00580594" w:rsidRDefault="00C564DE" w:rsidP="00C564DE">
            <w:pPr>
              <w:pStyle w:val="Tableheading"/>
              <w:rPr>
                <w:lang w:val="en-GB"/>
              </w:rPr>
            </w:pPr>
            <w:r w:rsidRPr="00580594">
              <w:rPr>
                <w:lang w:val="en-GB"/>
              </w:rPr>
              <w:t>Light Colour</w:t>
            </w:r>
          </w:p>
        </w:tc>
        <w:tc>
          <w:tcPr>
            <w:tcW w:w="1134" w:type="dxa"/>
            <w:vMerge w:val="restart"/>
            <w:noWrap/>
            <w:hideMark/>
          </w:tcPr>
          <w:p w14:paraId="23AF931D" w14:textId="36876C84" w:rsidR="00C564DE" w:rsidRPr="00580594" w:rsidRDefault="00C564DE" w:rsidP="00C564DE">
            <w:pPr>
              <w:pStyle w:val="Tableheading"/>
              <w:rPr>
                <w:lang w:val="en-GB"/>
              </w:rPr>
            </w:pPr>
            <w:r w:rsidRPr="00580594">
              <w:rPr>
                <w:lang w:val="en-GB"/>
              </w:rPr>
              <w:t>Sample Size</w:t>
            </w:r>
          </w:p>
        </w:tc>
        <w:tc>
          <w:tcPr>
            <w:tcW w:w="2268" w:type="dxa"/>
            <w:gridSpan w:val="2"/>
            <w:noWrap/>
            <w:hideMark/>
          </w:tcPr>
          <w:p w14:paraId="21AB7BB4" w14:textId="77777777" w:rsidR="00C564DE" w:rsidRPr="00580594" w:rsidRDefault="00C564DE" w:rsidP="00C564DE">
            <w:pPr>
              <w:pStyle w:val="Tableheading"/>
              <w:rPr>
                <w:lang w:val="en-GB"/>
              </w:rPr>
            </w:pPr>
            <w:r w:rsidRPr="00580594">
              <w:rPr>
                <w:lang w:val="en-GB"/>
              </w:rPr>
              <w:t>Difference</w:t>
            </w:r>
          </w:p>
        </w:tc>
      </w:tr>
      <w:tr w:rsidR="00C564DE" w:rsidRPr="00580594" w14:paraId="2CF9C575" w14:textId="77777777" w:rsidTr="00C564DE">
        <w:trPr>
          <w:trHeight w:val="300"/>
          <w:jc w:val="center"/>
        </w:trPr>
        <w:tc>
          <w:tcPr>
            <w:tcW w:w="1129" w:type="dxa"/>
            <w:vMerge/>
            <w:noWrap/>
            <w:hideMark/>
          </w:tcPr>
          <w:p w14:paraId="2F800C8C" w14:textId="443F14CC" w:rsidR="00C564DE" w:rsidRPr="00580594" w:rsidRDefault="00C564DE" w:rsidP="00C564DE">
            <w:pPr>
              <w:pStyle w:val="Tableheading"/>
              <w:rPr>
                <w:lang w:val="en-GB"/>
              </w:rPr>
            </w:pPr>
          </w:p>
        </w:tc>
        <w:tc>
          <w:tcPr>
            <w:tcW w:w="1134" w:type="dxa"/>
            <w:vMerge/>
            <w:noWrap/>
            <w:hideMark/>
          </w:tcPr>
          <w:p w14:paraId="5E6E2A2E" w14:textId="58D32035" w:rsidR="00C564DE" w:rsidRPr="00580594" w:rsidRDefault="00C564DE" w:rsidP="00C564DE">
            <w:pPr>
              <w:pStyle w:val="Tableheading"/>
              <w:rPr>
                <w:lang w:val="en-GB"/>
              </w:rPr>
            </w:pPr>
          </w:p>
        </w:tc>
        <w:tc>
          <w:tcPr>
            <w:tcW w:w="1134" w:type="dxa"/>
            <w:noWrap/>
            <w:hideMark/>
          </w:tcPr>
          <w:p w14:paraId="4354FFF3" w14:textId="77777777" w:rsidR="00C564DE" w:rsidRPr="00580594" w:rsidRDefault="00C564DE" w:rsidP="00C564DE">
            <w:pPr>
              <w:pStyle w:val="Tableheading"/>
              <w:rPr>
                <w:lang w:val="en-GB"/>
              </w:rPr>
            </w:pPr>
            <w:r w:rsidRPr="00580594">
              <w:rPr>
                <w:lang w:val="en-GB"/>
              </w:rPr>
              <w:t>Mean</w:t>
            </w:r>
          </w:p>
        </w:tc>
        <w:tc>
          <w:tcPr>
            <w:tcW w:w="1134" w:type="dxa"/>
            <w:noWrap/>
            <w:hideMark/>
          </w:tcPr>
          <w:p w14:paraId="2EEBF3EE" w14:textId="77777777" w:rsidR="00C564DE" w:rsidRPr="00580594" w:rsidRDefault="00C564DE" w:rsidP="00C564DE">
            <w:pPr>
              <w:pStyle w:val="Tableheading"/>
              <w:rPr>
                <w:lang w:val="en-GB"/>
              </w:rPr>
            </w:pPr>
            <w:r w:rsidRPr="00580594">
              <w:rPr>
                <w:lang w:val="en-GB"/>
              </w:rPr>
              <w:t>S.D.</w:t>
            </w:r>
          </w:p>
        </w:tc>
      </w:tr>
      <w:tr w:rsidR="00C564DE" w:rsidRPr="00580594" w14:paraId="1E175497" w14:textId="77777777" w:rsidTr="00C564DE">
        <w:trPr>
          <w:trHeight w:val="300"/>
          <w:jc w:val="center"/>
        </w:trPr>
        <w:tc>
          <w:tcPr>
            <w:tcW w:w="1129" w:type="dxa"/>
            <w:noWrap/>
            <w:hideMark/>
          </w:tcPr>
          <w:p w14:paraId="0518E4BC" w14:textId="77777777" w:rsidR="00C564DE" w:rsidRPr="00580594" w:rsidRDefault="00C564DE" w:rsidP="00C564DE">
            <w:pPr>
              <w:pStyle w:val="Tabletext"/>
              <w:rPr>
                <w:b/>
                <w:bCs/>
                <w:lang w:val="en-GB" w:eastAsia="en-GB"/>
              </w:rPr>
            </w:pPr>
            <w:r w:rsidRPr="00580594">
              <w:rPr>
                <w:b/>
                <w:bCs/>
                <w:lang w:val="en-GB" w:eastAsia="en-GB"/>
              </w:rPr>
              <w:t>White</w:t>
            </w:r>
          </w:p>
        </w:tc>
        <w:tc>
          <w:tcPr>
            <w:tcW w:w="1134" w:type="dxa"/>
            <w:noWrap/>
            <w:hideMark/>
          </w:tcPr>
          <w:p w14:paraId="270BC1DC" w14:textId="23729BBC" w:rsidR="00C564DE" w:rsidRPr="00580594" w:rsidRDefault="00615237" w:rsidP="00C564DE">
            <w:pPr>
              <w:pStyle w:val="Tabletext"/>
              <w:jc w:val="center"/>
              <w:rPr>
                <w:lang w:val="en-GB" w:eastAsia="en-GB"/>
              </w:rPr>
            </w:pPr>
            <w:r w:rsidRPr="00580594">
              <w:rPr>
                <w:lang w:val="en-GB" w:eastAsia="en-GB"/>
              </w:rPr>
              <w:t>21</w:t>
            </w:r>
          </w:p>
        </w:tc>
        <w:tc>
          <w:tcPr>
            <w:tcW w:w="1134" w:type="dxa"/>
            <w:noWrap/>
            <w:hideMark/>
          </w:tcPr>
          <w:p w14:paraId="0918EC4B" w14:textId="7D89E110" w:rsidR="00C564DE" w:rsidRPr="00580594" w:rsidRDefault="00C564DE" w:rsidP="00C564DE">
            <w:pPr>
              <w:pStyle w:val="Tabletext"/>
              <w:jc w:val="right"/>
              <w:rPr>
                <w:lang w:val="en-GB" w:eastAsia="en-GB"/>
              </w:rPr>
            </w:pPr>
            <w:r w:rsidRPr="00580594">
              <w:rPr>
                <w:lang w:val="en-GB" w:eastAsia="en-GB"/>
              </w:rPr>
              <w:t>+4.</w:t>
            </w:r>
            <w:r w:rsidR="00615237" w:rsidRPr="00580594">
              <w:rPr>
                <w:lang w:val="en-GB" w:eastAsia="en-GB"/>
              </w:rPr>
              <w:t>8</w:t>
            </w:r>
            <w:r w:rsidRPr="00580594">
              <w:rPr>
                <w:lang w:val="en-GB" w:eastAsia="en-GB"/>
              </w:rPr>
              <w:t xml:space="preserve"> %</w:t>
            </w:r>
          </w:p>
        </w:tc>
        <w:tc>
          <w:tcPr>
            <w:tcW w:w="1134" w:type="dxa"/>
            <w:noWrap/>
            <w:hideMark/>
          </w:tcPr>
          <w:p w14:paraId="1C2DA4C8" w14:textId="6058F010" w:rsidR="00C564DE" w:rsidRPr="00580594" w:rsidRDefault="00C564DE" w:rsidP="00C564DE">
            <w:pPr>
              <w:pStyle w:val="Tabletext"/>
              <w:jc w:val="right"/>
              <w:rPr>
                <w:lang w:val="en-GB" w:eastAsia="en-GB"/>
              </w:rPr>
            </w:pPr>
            <w:r w:rsidRPr="00580594">
              <w:rPr>
                <w:lang w:val="en-GB" w:eastAsia="en-GB"/>
              </w:rPr>
              <w:t>0.1</w:t>
            </w:r>
            <w:r w:rsidR="00615237" w:rsidRPr="00580594">
              <w:rPr>
                <w:lang w:val="en-GB" w:eastAsia="en-GB"/>
              </w:rPr>
              <w:t>6</w:t>
            </w:r>
            <w:r w:rsidRPr="00580594">
              <w:rPr>
                <w:lang w:val="en-GB" w:eastAsia="en-GB"/>
              </w:rPr>
              <w:t>0 %</w:t>
            </w:r>
          </w:p>
        </w:tc>
      </w:tr>
      <w:tr w:rsidR="00C564DE" w:rsidRPr="00580594" w14:paraId="3C2FCE67" w14:textId="77777777" w:rsidTr="00C564DE">
        <w:trPr>
          <w:trHeight w:val="300"/>
          <w:jc w:val="center"/>
        </w:trPr>
        <w:tc>
          <w:tcPr>
            <w:tcW w:w="1129" w:type="dxa"/>
            <w:noWrap/>
            <w:hideMark/>
          </w:tcPr>
          <w:p w14:paraId="0014E6B9" w14:textId="77777777" w:rsidR="00C564DE" w:rsidRPr="00580594" w:rsidRDefault="00C564DE" w:rsidP="00C564DE">
            <w:pPr>
              <w:pStyle w:val="Tabletext"/>
              <w:rPr>
                <w:b/>
                <w:bCs/>
                <w:lang w:val="en-GB" w:eastAsia="en-GB"/>
              </w:rPr>
            </w:pPr>
            <w:r w:rsidRPr="00580594">
              <w:rPr>
                <w:b/>
                <w:bCs/>
                <w:lang w:val="en-GB" w:eastAsia="en-GB"/>
              </w:rPr>
              <w:t>Red</w:t>
            </w:r>
          </w:p>
        </w:tc>
        <w:tc>
          <w:tcPr>
            <w:tcW w:w="1134" w:type="dxa"/>
            <w:noWrap/>
            <w:hideMark/>
          </w:tcPr>
          <w:p w14:paraId="3CE3EDB8" w14:textId="358DE9B6" w:rsidR="00C564DE" w:rsidRPr="00580594" w:rsidRDefault="00C564DE" w:rsidP="00C564DE">
            <w:pPr>
              <w:pStyle w:val="Tabletext"/>
              <w:jc w:val="center"/>
              <w:rPr>
                <w:lang w:val="en-GB" w:eastAsia="en-GB"/>
              </w:rPr>
            </w:pPr>
            <w:r w:rsidRPr="00580594">
              <w:rPr>
                <w:lang w:val="en-GB" w:eastAsia="en-GB"/>
              </w:rPr>
              <w:t>1</w:t>
            </w:r>
            <w:r w:rsidR="00615237" w:rsidRPr="00580594">
              <w:rPr>
                <w:lang w:val="en-GB" w:eastAsia="en-GB"/>
              </w:rPr>
              <w:t>6</w:t>
            </w:r>
          </w:p>
        </w:tc>
        <w:tc>
          <w:tcPr>
            <w:tcW w:w="1134" w:type="dxa"/>
            <w:noWrap/>
            <w:hideMark/>
          </w:tcPr>
          <w:p w14:paraId="0F2393A0" w14:textId="0DB1C37F" w:rsidR="00C564DE" w:rsidRPr="00580594" w:rsidRDefault="00C564DE" w:rsidP="00C564DE">
            <w:pPr>
              <w:pStyle w:val="Tabletext"/>
              <w:jc w:val="right"/>
              <w:rPr>
                <w:lang w:val="en-GB" w:eastAsia="en-GB"/>
              </w:rPr>
            </w:pPr>
            <w:r w:rsidRPr="00580594">
              <w:rPr>
                <w:lang w:val="en-GB" w:eastAsia="en-GB"/>
              </w:rPr>
              <w:t>+11.3 %</w:t>
            </w:r>
          </w:p>
        </w:tc>
        <w:tc>
          <w:tcPr>
            <w:tcW w:w="1134" w:type="dxa"/>
            <w:noWrap/>
            <w:hideMark/>
          </w:tcPr>
          <w:p w14:paraId="62E311D4" w14:textId="695231B4" w:rsidR="00C564DE" w:rsidRPr="00580594" w:rsidRDefault="00C564DE" w:rsidP="00C564DE">
            <w:pPr>
              <w:pStyle w:val="Tabletext"/>
              <w:jc w:val="right"/>
              <w:rPr>
                <w:lang w:val="en-GB" w:eastAsia="en-GB"/>
              </w:rPr>
            </w:pPr>
            <w:r w:rsidRPr="00580594">
              <w:rPr>
                <w:lang w:val="en-GB" w:eastAsia="en-GB"/>
              </w:rPr>
              <w:t>0.0</w:t>
            </w:r>
            <w:r w:rsidR="00615237" w:rsidRPr="00580594">
              <w:rPr>
                <w:lang w:val="en-GB" w:eastAsia="en-GB"/>
              </w:rPr>
              <w:t>70</w:t>
            </w:r>
            <w:r w:rsidRPr="00580594">
              <w:rPr>
                <w:lang w:val="en-GB" w:eastAsia="en-GB"/>
              </w:rPr>
              <w:t xml:space="preserve"> %</w:t>
            </w:r>
          </w:p>
        </w:tc>
      </w:tr>
      <w:tr w:rsidR="00C564DE" w:rsidRPr="00580594" w14:paraId="76BF6591" w14:textId="77777777" w:rsidTr="00C564DE">
        <w:trPr>
          <w:trHeight w:val="300"/>
          <w:jc w:val="center"/>
        </w:trPr>
        <w:tc>
          <w:tcPr>
            <w:tcW w:w="1129" w:type="dxa"/>
            <w:noWrap/>
            <w:hideMark/>
          </w:tcPr>
          <w:p w14:paraId="110E1DD6" w14:textId="77777777" w:rsidR="00C564DE" w:rsidRPr="00580594" w:rsidRDefault="00C564DE" w:rsidP="00C564DE">
            <w:pPr>
              <w:pStyle w:val="Tabletext"/>
              <w:rPr>
                <w:b/>
                <w:bCs/>
                <w:lang w:val="en-GB" w:eastAsia="en-GB"/>
              </w:rPr>
            </w:pPr>
            <w:r w:rsidRPr="00580594">
              <w:rPr>
                <w:b/>
                <w:bCs/>
                <w:lang w:val="en-GB" w:eastAsia="en-GB"/>
              </w:rPr>
              <w:t>Green A</w:t>
            </w:r>
          </w:p>
        </w:tc>
        <w:tc>
          <w:tcPr>
            <w:tcW w:w="1134" w:type="dxa"/>
            <w:noWrap/>
            <w:hideMark/>
          </w:tcPr>
          <w:p w14:paraId="659B5B1B" w14:textId="61E6AE21" w:rsidR="00C564DE" w:rsidRPr="00580594" w:rsidRDefault="00615237" w:rsidP="00C564DE">
            <w:pPr>
              <w:pStyle w:val="Tabletext"/>
              <w:jc w:val="center"/>
              <w:rPr>
                <w:lang w:val="en-GB" w:eastAsia="en-GB"/>
              </w:rPr>
            </w:pPr>
            <w:r w:rsidRPr="00580594">
              <w:rPr>
                <w:lang w:val="en-GB" w:eastAsia="en-GB"/>
              </w:rPr>
              <w:t>4</w:t>
            </w:r>
          </w:p>
        </w:tc>
        <w:tc>
          <w:tcPr>
            <w:tcW w:w="1134" w:type="dxa"/>
            <w:noWrap/>
            <w:hideMark/>
          </w:tcPr>
          <w:p w14:paraId="1402F5C6" w14:textId="5F5DE18F" w:rsidR="00C564DE" w:rsidRPr="00580594" w:rsidRDefault="00C564DE" w:rsidP="00C564DE">
            <w:pPr>
              <w:pStyle w:val="Tabletext"/>
              <w:jc w:val="right"/>
              <w:rPr>
                <w:lang w:val="en-GB" w:eastAsia="en-GB"/>
              </w:rPr>
            </w:pPr>
            <w:r w:rsidRPr="00580594">
              <w:rPr>
                <w:lang w:val="en-GB" w:eastAsia="en-GB"/>
              </w:rPr>
              <w:t>+5.</w:t>
            </w:r>
            <w:r w:rsidR="00615237" w:rsidRPr="00580594">
              <w:rPr>
                <w:lang w:val="en-GB" w:eastAsia="en-GB"/>
              </w:rPr>
              <w:t>2</w:t>
            </w:r>
            <w:r w:rsidRPr="00580594">
              <w:rPr>
                <w:lang w:val="en-GB" w:eastAsia="en-GB"/>
              </w:rPr>
              <w:t xml:space="preserve"> %</w:t>
            </w:r>
          </w:p>
        </w:tc>
        <w:tc>
          <w:tcPr>
            <w:tcW w:w="1134" w:type="dxa"/>
            <w:noWrap/>
            <w:hideMark/>
          </w:tcPr>
          <w:p w14:paraId="509B7409" w14:textId="6432FE10" w:rsidR="00C564DE" w:rsidRPr="00580594" w:rsidRDefault="00C564DE" w:rsidP="00C564DE">
            <w:pPr>
              <w:pStyle w:val="Tabletext"/>
              <w:jc w:val="right"/>
              <w:rPr>
                <w:lang w:val="en-GB" w:eastAsia="en-GB"/>
              </w:rPr>
            </w:pPr>
            <w:r w:rsidRPr="00580594">
              <w:rPr>
                <w:lang w:val="en-GB" w:eastAsia="en-GB"/>
              </w:rPr>
              <w:t>0.</w:t>
            </w:r>
            <w:r w:rsidR="00615237" w:rsidRPr="00580594">
              <w:rPr>
                <w:lang w:val="en-GB" w:eastAsia="en-GB"/>
              </w:rPr>
              <w:t>198</w:t>
            </w:r>
            <w:r w:rsidRPr="00580594">
              <w:rPr>
                <w:lang w:val="en-GB" w:eastAsia="en-GB"/>
              </w:rPr>
              <w:t xml:space="preserve"> %</w:t>
            </w:r>
          </w:p>
        </w:tc>
      </w:tr>
      <w:tr w:rsidR="00C564DE" w:rsidRPr="00580594" w14:paraId="39E50213" w14:textId="77777777" w:rsidTr="00C564DE">
        <w:trPr>
          <w:trHeight w:val="300"/>
          <w:jc w:val="center"/>
        </w:trPr>
        <w:tc>
          <w:tcPr>
            <w:tcW w:w="1129" w:type="dxa"/>
            <w:noWrap/>
            <w:hideMark/>
          </w:tcPr>
          <w:p w14:paraId="27A865E3" w14:textId="77777777" w:rsidR="00C564DE" w:rsidRPr="00580594" w:rsidRDefault="00C564DE" w:rsidP="00C564DE">
            <w:pPr>
              <w:pStyle w:val="Tabletext"/>
              <w:rPr>
                <w:b/>
                <w:bCs/>
                <w:lang w:val="en-GB" w:eastAsia="en-GB"/>
              </w:rPr>
            </w:pPr>
            <w:r w:rsidRPr="00580594">
              <w:rPr>
                <w:b/>
                <w:bCs/>
                <w:lang w:val="en-GB" w:eastAsia="en-GB"/>
              </w:rPr>
              <w:t>Green B</w:t>
            </w:r>
          </w:p>
        </w:tc>
        <w:tc>
          <w:tcPr>
            <w:tcW w:w="1134" w:type="dxa"/>
            <w:noWrap/>
            <w:hideMark/>
          </w:tcPr>
          <w:p w14:paraId="025972D6" w14:textId="57E89BCA" w:rsidR="00C564DE" w:rsidRPr="00580594" w:rsidRDefault="00615237" w:rsidP="00C564DE">
            <w:pPr>
              <w:pStyle w:val="Tabletext"/>
              <w:jc w:val="center"/>
              <w:rPr>
                <w:lang w:val="en-GB" w:eastAsia="en-GB"/>
              </w:rPr>
            </w:pPr>
            <w:r w:rsidRPr="00580594">
              <w:rPr>
                <w:lang w:val="en-GB" w:eastAsia="en-GB"/>
              </w:rPr>
              <w:t>4</w:t>
            </w:r>
          </w:p>
        </w:tc>
        <w:tc>
          <w:tcPr>
            <w:tcW w:w="1134" w:type="dxa"/>
            <w:noWrap/>
            <w:hideMark/>
          </w:tcPr>
          <w:p w14:paraId="3C972627" w14:textId="4EE15932" w:rsidR="00C564DE" w:rsidRPr="00580594" w:rsidRDefault="00C564DE" w:rsidP="00C564DE">
            <w:pPr>
              <w:pStyle w:val="Tabletext"/>
              <w:jc w:val="right"/>
              <w:rPr>
                <w:lang w:val="en-GB" w:eastAsia="en-GB"/>
              </w:rPr>
            </w:pPr>
            <w:r w:rsidRPr="00580594">
              <w:rPr>
                <w:lang w:val="en-GB" w:eastAsia="en-GB"/>
              </w:rPr>
              <w:t>+1.</w:t>
            </w:r>
            <w:r w:rsidR="00615237" w:rsidRPr="00580594">
              <w:rPr>
                <w:lang w:val="en-GB" w:eastAsia="en-GB"/>
              </w:rPr>
              <w:t>5</w:t>
            </w:r>
            <w:r w:rsidRPr="00580594">
              <w:rPr>
                <w:lang w:val="en-GB" w:eastAsia="en-GB"/>
              </w:rPr>
              <w:t xml:space="preserve"> %</w:t>
            </w:r>
          </w:p>
        </w:tc>
        <w:tc>
          <w:tcPr>
            <w:tcW w:w="1134" w:type="dxa"/>
            <w:noWrap/>
            <w:hideMark/>
          </w:tcPr>
          <w:p w14:paraId="0D9F78AB" w14:textId="32C7F9BA" w:rsidR="00C564DE" w:rsidRPr="00580594" w:rsidRDefault="00C564DE" w:rsidP="00C564DE">
            <w:pPr>
              <w:pStyle w:val="Tabletext"/>
              <w:jc w:val="right"/>
              <w:rPr>
                <w:lang w:val="en-GB" w:eastAsia="en-GB"/>
              </w:rPr>
            </w:pPr>
            <w:r w:rsidRPr="00580594">
              <w:rPr>
                <w:lang w:val="en-GB" w:eastAsia="en-GB"/>
              </w:rPr>
              <w:t>0.</w:t>
            </w:r>
            <w:r w:rsidR="00615237" w:rsidRPr="00580594">
              <w:rPr>
                <w:lang w:val="en-GB" w:eastAsia="en-GB"/>
              </w:rPr>
              <w:t>138</w:t>
            </w:r>
            <w:r w:rsidRPr="00580594">
              <w:rPr>
                <w:lang w:val="en-GB" w:eastAsia="en-GB"/>
              </w:rPr>
              <w:t xml:space="preserve"> %</w:t>
            </w:r>
          </w:p>
        </w:tc>
      </w:tr>
      <w:tr w:rsidR="00C564DE" w:rsidRPr="00580594" w14:paraId="6622D594" w14:textId="77777777" w:rsidTr="00C564DE">
        <w:trPr>
          <w:trHeight w:val="300"/>
          <w:jc w:val="center"/>
        </w:trPr>
        <w:tc>
          <w:tcPr>
            <w:tcW w:w="1129" w:type="dxa"/>
            <w:noWrap/>
            <w:hideMark/>
          </w:tcPr>
          <w:p w14:paraId="218D7775" w14:textId="77777777" w:rsidR="00C564DE" w:rsidRPr="00580594" w:rsidRDefault="00C564DE" w:rsidP="00C564DE">
            <w:pPr>
              <w:pStyle w:val="Tabletext"/>
              <w:rPr>
                <w:b/>
                <w:bCs/>
                <w:lang w:val="en-GB" w:eastAsia="en-GB"/>
              </w:rPr>
            </w:pPr>
            <w:r w:rsidRPr="00580594">
              <w:rPr>
                <w:b/>
                <w:bCs/>
                <w:lang w:val="en-GB" w:eastAsia="en-GB"/>
              </w:rPr>
              <w:t>Yellow</w:t>
            </w:r>
          </w:p>
        </w:tc>
        <w:tc>
          <w:tcPr>
            <w:tcW w:w="1134" w:type="dxa"/>
            <w:noWrap/>
            <w:hideMark/>
          </w:tcPr>
          <w:p w14:paraId="4B2C9434" w14:textId="77777777" w:rsidR="00C564DE" w:rsidRPr="00580594" w:rsidRDefault="00C564DE" w:rsidP="00C564DE">
            <w:pPr>
              <w:pStyle w:val="Tabletext"/>
              <w:jc w:val="center"/>
              <w:rPr>
                <w:lang w:val="en-GB" w:eastAsia="en-GB"/>
              </w:rPr>
            </w:pPr>
            <w:r w:rsidRPr="00580594">
              <w:rPr>
                <w:lang w:val="en-GB" w:eastAsia="en-GB"/>
              </w:rPr>
              <w:t>1</w:t>
            </w:r>
          </w:p>
        </w:tc>
        <w:tc>
          <w:tcPr>
            <w:tcW w:w="1134" w:type="dxa"/>
            <w:noWrap/>
            <w:hideMark/>
          </w:tcPr>
          <w:p w14:paraId="083E5A6C" w14:textId="6A5893CF" w:rsidR="00C564DE" w:rsidRPr="00580594" w:rsidRDefault="00C564DE" w:rsidP="00C564DE">
            <w:pPr>
              <w:pStyle w:val="Tabletext"/>
              <w:jc w:val="right"/>
              <w:rPr>
                <w:lang w:val="en-GB" w:eastAsia="en-GB"/>
              </w:rPr>
            </w:pPr>
            <w:r w:rsidRPr="00580594">
              <w:rPr>
                <w:lang w:val="en-GB" w:eastAsia="en-GB"/>
              </w:rPr>
              <w:t>+7.3 %</w:t>
            </w:r>
          </w:p>
        </w:tc>
        <w:tc>
          <w:tcPr>
            <w:tcW w:w="1134" w:type="dxa"/>
            <w:noWrap/>
            <w:hideMark/>
          </w:tcPr>
          <w:p w14:paraId="5B1F984E" w14:textId="20E20BE7" w:rsidR="00C564DE" w:rsidRPr="00580594" w:rsidRDefault="00C564DE" w:rsidP="00C564DE">
            <w:pPr>
              <w:pStyle w:val="Tabletext"/>
              <w:jc w:val="center"/>
              <w:rPr>
                <w:lang w:val="en-GB" w:eastAsia="en-GB"/>
              </w:rPr>
            </w:pPr>
            <w:r w:rsidRPr="00580594">
              <w:rPr>
                <w:lang w:val="en-GB" w:eastAsia="en-GB"/>
              </w:rPr>
              <w:t>-</w:t>
            </w:r>
          </w:p>
        </w:tc>
      </w:tr>
      <w:tr w:rsidR="00C564DE" w:rsidRPr="00580594" w14:paraId="192E8C83" w14:textId="77777777" w:rsidTr="00C564DE">
        <w:trPr>
          <w:trHeight w:val="300"/>
          <w:jc w:val="center"/>
        </w:trPr>
        <w:tc>
          <w:tcPr>
            <w:tcW w:w="1129" w:type="dxa"/>
            <w:noWrap/>
            <w:hideMark/>
          </w:tcPr>
          <w:p w14:paraId="61688886" w14:textId="77777777" w:rsidR="00C564DE" w:rsidRPr="00580594" w:rsidRDefault="00C564DE" w:rsidP="00C564DE">
            <w:pPr>
              <w:pStyle w:val="Tabletext"/>
              <w:rPr>
                <w:b/>
                <w:bCs/>
                <w:lang w:val="en-GB" w:eastAsia="en-GB"/>
              </w:rPr>
            </w:pPr>
            <w:r w:rsidRPr="00580594">
              <w:rPr>
                <w:b/>
                <w:bCs/>
                <w:lang w:val="en-GB" w:eastAsia="en-GB"/>
              </w:rPr>
              <w:t>Blue</w:t>
            </w:r>
          </w:p>
        </w:tc>
        <w:tc>
          <w:tcPr>
            <w:tcW w:w="1134" w:type="dxa"/>
            <w:noWrap/>
            <w:hideMark/>
          </w:tcPr>
          <w:p w14:paraId="024A5CE4" w14:textId="77777777" w:rsidR="00C564DE" w:rsidRPr="00580594" w:rsidRDefault="00C564DE" w:rsidP="00C564DE">
            <w:pPr>
              <w:pStyle w:val="Tabletext"/>
              <w:jc w:val="center"/>
              <w:rPr>
                <w:lang w:val="en-GB" w:eastAsia="en-GB"/>
              </w:rPr>
            </w:pPr>
            <w:r w:rsidRPr="00580594">
              <w:rPr>
                <w:lang w:val="en-GB" w:eastAsia="en-GB"/>
              </w:rPr>
              <w:t>1</w:t>
            </w:r>
          </w:p>
        </w:tc>
        <w:tc>
          <w:tcPr>
            <w:tcW w:w="1134" w:type="dxa"/>
            <w:tcBorders>
              <w:bottom w:val="single" w:sz="4" w:space="0" w:color="auto"/>
            </w:tcBorders>
            <w:noWrap/>
            <w:hideMark/>
          </w:tcPr>
          <w:p w14:paraId="79DA52FE" w14:textId="22A7CF7E" w:rsidR="00C564DE" w:rsidRPr="00580594" w:rsidRDefault="00C564DE" w:rsidP="00C564DE">
            <w:pPr>
              <w:pStyle w:val="Tabletext"/>
              <w:jc w:val="right"/>
              <w:rPr>
                <w:lang w:val="en-GB" w:eastAsia="en-GB"/>
              </w:rPr>
            </w:pPr>
            <w:r w:rsidRPr="00580594">
              <w:rPr>
                <w:lang w:val="en-GB" w:eastAsia="en-GB"/>
              </w:rPr>
              <w:t>+36.1 %</w:t>
            </w:r>
          </w:p>
        </w:tc>
        <w:tc>
          <w:tcPr>
            <w:tcW w:w="1134" w:type="dxa"/>
            <w:tcBorders>
              <w:bottom w:val="single" w:sz="4" w:space="0" w:color="auto"/>
            </w:tcBorders>
            <w:noWrap/>
            <w:hideMark/>
          </w:tcPr>
          <w:p w14:paraId="47AED502" w14:textId="3AE97B5B" w:rsidR="00C564DE" w:rsidRPr="00580594" w:rsidRDefault="00C564DE" w:rsidP="00C564DE">
            <w:pPr>
              <w:pStyle w:val="Tabletext"/>
              <w:jc w:val="center"/>
              <w:rPr>
                <w:lang w:val="en-GB" w:eastAsia="en-GB"/>
              </w:rPr>
            </w:pPr>
            <w:r w:rsidRPr="00580594">
              <w:rPr>
                <w:lang w:val="en-GB" w:eastAsia="en-GB"/>
              </w:rPr>
              <w:t>-</w:t>
            </w:r>
          </w:p>
        </w:tc>
      </w:tr>
      <w:tr w:rsidR="00C564DE" w:rsidRPr="00580594" w14:paraId="78E93211" w14:textId="77777777" w:rsidTr="00C564DE">
        <w:trPr>
          <w:trHeight w:val="300"/>
          <w:jc w:val="center"/>
        </w:trPr>
        <w:tc>
          <w:tcPr>
            <w:tcW w:w="1129" w:type="dxa"/>
            <w:noWrap/>
            <w:hideMark/>
          </w:tcPr>
          <w:p w14:paraId="29D14ED0" w14:textId="77777777" w:rsidR="00C564DE" w:rsidRPr="00580594" w:rsidRDefault="00C564DE" w:rsidP="00C564DE">
            <w:pPr>
              <w:pStyle w:val="Tabletext"/>
              <w:rPr>
                <w:b/>
                <w:bCs/>
                <w:lang w:val="en-GB" w:eastAsia="en-GB"/>
              </w:rPr>
            </w:pPr>
            <w:r w:rsidRPr="00580594">
              <w:rPr>
                <w:b/>
                <w:bCs/>
                <w:lang w:val="en-GB" w:eastAsia="en-GB"/>
              </w:rPr>
              <w:t>Total</w:t>
            </w:r>
          </w:p>
        </w:tc>
        <w:tc>
          <w:tcPr>
            <w:tcW w:w="1134" w:type="dxa"/>
            <w:noWrap/>
            <w:hideMark/>
          </w:tcPr>
          <w:p w14:paraId="5DC95781" w14:textId="77777777" w:rsidR="00C564DE" w:rsidRPr="00580594" w:rsidRDefault="00C564DE" w:rsidP="00C564DE">
            <w:pPr>
              <w:pStyle w:val="Tabletext"/>
              <w:jc w:val="center"/>
              <w:rPr>
                <w:b/>
                <w:bCs/>
                <w:lang w:val="en-GB" w:eastAsia="en-GB"/>
              </w:rPr>
            </w:pPr>
            <w:r w:rsidRPr="00580594">
              <w:rPr>
                <w:b/>
                <w:bCs/>
                <w:lang w:val="en-GB" w:eastAsia="en-GB"/>
              </w:rPr>
              <w:t>38</w:t>
            </w:r>
          </w:p>
        </w:tc>
        <w:tc>
          <w:tcPr>
            <w:tcW w:w="1134" w:type="dxa"/>
            <w:tcBorders>
              <w:bottom w:val="nil"/>
              <w:right w:val="nil"/>
            </w:tcBorders>
            <w:noWrap/>
            <w:hideMark/>
          </w:tcPr>
          <w:p w14:paraId="102ED6D1" w14:textId="77777777" w:rsidR="00C564DE" w:rsidRPr="00580594" w:rsidRDefault="00C564DE" w:rsidP="00C564DE">
            <w:pPr>
              <w:spacing w:line="240" w:lineRule="auto"/>
              <w:jc w:val="center"/>
              <w:rPr>
                <w:rFonts w:ascii="Aptos Narrow" w:eastAsia="Times New Roman" w:hAnsi="Aptos Narrow" w:cs="Times New Roman"/>
                <w:color w:val="000000"/>
                <w:sz w:val="22"/>
                <w:lang w:val="en-GB" w:eastAsia="en-GB"/>
              </w:rPr>
            </w:pPr>
          </w:p>
        </w:tc>
        <w:tc>
          <w:tcPr>
            <w:tcW w:w="1134" w:type="dxa"/>
            <w:tcBorders>
              <w:left w:val="nil"/>
              <w:bottom w:val="nil"/>
              <w:right w:val="nil"/>
            </w:tcBorders>
            <w:noWrap/>
            <w:hideMark/>
          </w:tcPr>
          <w:p w14:paraId="6FF3D96E" w14:textId="77777777" w:rsidR="00C564DE" w:rsidRPr="00580594" w:rsidRDefault="00C564DE" w:rsidP="00C564DE">
            <w:pPr>
              <w:spacing w:line="240" w:lineRule="auto"/>
              <w:rPr>
                <w:rFonts w:ascii="Times New Roman" w:eastAsia="Times New Roman" w:hAnsi="Times New Roman" w:cs="Times New Roman"/>
                <w:sz w:val="20"/>
                <w:szCs w:val="20"/>
                <w:lang w:val="en-GB" w:eastAsia="en-GB"/>
              </w:rPr>
            </w:pPr>
          </w:p>
        </w:tc>
      </w:tr>
    </w:tbl>
    <w:p w14:paraId="21DDEC18" w14:textId="77777777" w:rsidR="00C564DE" w:rsidRPr="00580594" w:rsidRDefault="00C564DE" w:rsidP="00B56BDF">
      <w:pPr>
        <w:pStyle w:val="BodyText"/>
        <w:rPr>
          <w:rFonts w:ascii="Calibri" w:hAnsi="Calibri"/>
        </w:rPr>
      </w:pPr>
    </w:p>
    <w:p w14:paraId="14E76064" w14:textId="57545E0C" w:rsidR="000A3ADE" w:rsidRPr="00580594" w:rsidRDefault="00C564DE" w:rsidP="00B56BDF">
      <w:pPr>
        <w:pStyle w:val="BodyText"/>
        <w:rPr>
          <w:rFonts w:ascii="Calibri" w:hAnsi="Calibri"/>
        </w:rPr>
      </w:pPr>
      <w:r w:rsidRPr="00580594">
        <w:rPr>
          <w:rFonts w:ascii="Calibri" w:hAnsi="Calibri"/>
        </w:rPr>
        <w:t>The results show some interesting trends. It seems that regardless of colour, there is an increase in the calculated intensity</w:t>
      </w:r>
      <w:r w:rsidR="000A3ADE" w:rsidRPr="00580594">
        <w:rPr>
          <w:rFonts w:ascii="Calibri" w:hAnsi="Calibri"/>
        </w:rPr>
        <w:t>. There is also little variation between different lights of the same colour, as shown in the standard deviation column. This is a little surprising for the white colour since there can be quite a variation in the spectra of white lights, depending on the correlated colour temperature (CCT) of the white light used in the lantern.</w:t>
      </w:r>
    </w:p>
    <w:p w14:paraId="0630DF9A" w14:textId="35D13556" w:rsidR="00D05385" w:rsidRPr="00580594" w:rsidRDefault="000A3ADE" w:rsidP="00B56BDF">
      <w:pPr>
        <w:pStyle w:val="BodyText"/>
        <w:rPr>
          <w:rFonts w:ascii="Calibri" w:hAnsi="Calibri"/>
        </w:rPr>
      </w:pPr>
      <w:r w:rsidRPr="00580594">
        <w:rPr>
          <w:rFonts w:ascii="Calibri" w:hAnsi="Calibri"/>
        </w:rPr>
        <w:t>The biggest changes appear to be for blue lights. This is not surprising given that, as mentioned earlier, there has been a substantial increase in</w:t>
      </w:r>
      <w:r w:rsidR="00850920" w:rsidRPr="00580594">
        <w:rPr>
          <w:rFonts w:ascii="Calibri" w:hAnsi="Calibri"/>
        </w:rPr>
        <w:t xml:space="preserve"> the</w:t>
      </w:r>
      <w:r w:rsidRPr="00580594">
        <w:rPr>
          <w:rFonts w:ascii="Calibri" w:hAnsi="Calibri"/>
        </w:rPr>
        <w:t xml:space="preserve"> respons</w:t>
      </w:r>
      <w:r w:rsidR="00850920" w:rsidRPr="00580594">
        <w:rPr>
          <w:rFonts w:ascii="Calibri" w:hAnsi="Calibri"/>
        </w:rPr>
        <w:t>e</w:t>
      </w:r>
      <w:r w:rsidRPr="00580594">
        <w:rPr>
          <w:rFonts w:ascii="Calibri" w:hAnsi="Calibri"/>
        </w:rPr>
        <w:t xml:space="preserve"> </w:t>
      </w:r>
      <w:r w:rsidR="00850920" w:rsidRPr="00580594">
        <w:rPr>
          <w:rFonts w:ascii="Calibri" w:hAnsi="Calibri"/>
        </w:rPr>
        <w:t>at</w:t>
      </w:r>
      <w:r w:rsidRPr="00580594">
        <w:rPr>
          <w:rFonts w:ascii="Calibri" w:hAnsi="Calibri"/>
        </w:rPr>
        <w:t xml:space="preserve"> the shorter wavelengths. Nevertheless, an increase of about 36 % in the intensity is considerable</w:t>
      </w:r>
      <w:r w:rsidR="00F46050" w:rsidRPr="00580594">
        <w:rPr>
          <w:rFonts w:ascii="Calibri" w:hAnsi="Calibri"/>
        </w:rPr>
        <w:t xml:space="preserve"> if the single sample used is representative of typical blue LED-based lights used in the industry.</w:t>
      </w:r>
    </w:p>
    <w:p w14:paraId="10558FFB" w14:textId="22C29631" w:rsidR="000A3ADE" w:rsidRPr="00580594" w:rsidRDefault="000A3ADE" w:rsidP="00B56BDF">
      <w:pPr>
        <w:pStyle w:val="BodyText"/>
        <w:rPr>
          <w:rFonts w:ascii="Calibri" w:hAnsi="Calibri"/>
        </w:rPr>
      </w:pPr>
      <w:r w:rsidRPr="00580594">
        <w:rPr>
          <w:rFonts w:ascii="Calibri" w:hAnsi="Calibri"/>
        </w:rPr>
        <w:t>Similarly, red lights have an increase of about 11 % in intensity after the change to cone fundamentals.</w:t>
      </w:r>
    </w:p>
    <w:p w14:paraId="08AB360E" w14:textId="04D48E68" w:rsidR="000A3ADE" w:rsidRPr="00580594" w:rsidRDefault="000A3ADE" w:rsidP="000A3ADE">
      <w:pPr>
        <w:pStyle w:val="Heading1"/>
      </w:pPr>
      <w:r w:rsidRPr="00580594">
        <w:t>Discussion</w:t>
      </w:r>
    </w:p>
    <w:p w14:paraId="09D09258" w14:textId="37731742" w:rsidR="000A3ADE" w:rsidRPr="00580594" w:rsidRDefault="000A3ADE" w:rsidP="00B56BDF">
      <w:pPr>
        <w:pStyle w:val="BodyText"/>
        <w:rPr>
          <w:rFonts w:ascii="Calibri" w:hAnsi="Calibri"/>
        </w:rPr>
      </w:pPr>
      <w:r w:rsidRPr="00580594">
        <w:rPr>
          <w:rFonts w:ascii="Calibri" w:hAnsi="Calibri"/>
        </w:rPr>
        <w:t xml:space="preserve">The results shown in the previous section are certainly very interesting and point to how colorimetry and photometry can change with a shift from the existing CMFs to those based on cone fundamentals. </w:t>
      </w:r>
    </w:p>
    <w:p w14:paraId="0D8DCBBC" w14:textId="05E54D3F" w:rsidR="000A3ADE" w:rsidRPr="00580594" w:rsidRDefault="000A3ADE" w:rsidP="00B56BDF">
      <w:pPr>
        <w:pStyle w:val="BodyText"/>
        <w:rPr>
          <w:rFonts w:ascii="Calibri" w:eastAsiaTheme="minorEastAsia" w:hAnsi="Calibri"/>
        </w:rPr>
      </w:pPr>
      <w:r w:rsidRPr="00580594">
        <w:rPr>
          <w:rFonts w:ascii="Calibri" w:hAnsi="Calibri"/>
        </w:rPr>
        <w:lastRenderedPageBreak/>
        <w:t xml:space="preserve">One should be careful in interpreting these results. This does not mean that lights are suddenly brighter, but rather the intensities ascribed to a particular “brightness” has a higher value. Does this matter? At the time of writing, the answer is </w:t>
      </w:r>
      <w:r w:rsidR="002923D5" w:rsidRPr="00580594">
        <w:rPr>
          <w:rFonts w:ascii="Calibri" w:hAnsi="Calibri"/>
        </w:rPr>
        <w:t>unclear,</w:t>
      </w:r>
      <w:r w:rsidR="0061498A" w:rsidRPr="00580594">
        <w:rPr>
          <w:rFonts w:ascii="Calibri" w:eastAsiaTheme="minorEastAsia" w:hAnsi="Calibri"/>
        </w:rPr>
        <w:t xml:space="preserve"> and its implications needs to be carefully thought through.</w:t>
      </w:r>
    </w:p>
    <w:p w14:paraId="7155DB98" w14:textId="77FB2BEA" w:rsidR="00CA6209" w:rsidRPr="00580594" w:rsidRDefault="00492332" w:rsidP="00B56BDF">
      <w:pPr>
        <w:pStyle w:val="BodyText"/>
        <w:rPr>
          <w:rFonts w:ascii="Calibri" w:eastAsiaTheme="minorEastAsia" w:hAnsi="Calibri"/>
        </w:rPr>
      </w:pPr>
      <w:r w:rsidRPr="00580594">
        <w:rPr>
          <w:rFonts w:ascii="Calibri" w:eastAsiaTheme="minorEastAsia" w:hAnsi="Calibri"/>
        </w:rPr>
        <w:t>The</w:t>
      </w:r>
      <w:r w:rsidR="00CA6209" w:rsidRPr="00580594">
        <w:rPr>
          <w:rFonts w:ascii="Calibri" w:eastAsiaTheme="minorEastAsia" w:hAnsi="Calibri"/>
        </w:rPr>
        <w:t xml:space="preserve"> research group within CIE </w:t>
      </w:r>
      <w:r w:rsidR="00C74965" w:rsidRPr="00580594">
        <w:rPr>
          <w:rFonts w:ascii="Calibri" w:eastAsiaTheme="minorEastAsia" w:hAnsi="Calibri"/>
        </w:rPr>
        <w:t>are</w:t>
      </w:r>
      <w:r w:rsidR="00CA6209" w:rsidRPr="00580594">
        <w:rPr>
          <w:rFonts w:ascii="Calibri" w:eastAsiaTheme="minorEastAsia" w:hAnsi="Calibri"/>
        </w:rPr>
        <w:t xml:space="preserve"> explor</w:t>
      </w:r>
      <w:r w:rsidR="00C74965" w:rsidRPr="00580594">
        <w:rPr>
          <w:rFonts w:ascii="Calibri" w:eastAsiaTheme="minorEastAsia" w:hAnsi="Calibri"/>
        </w:rPr>
        <w:t>ing</w:t>
      </w:r>
      <w:r w:rsidR="00CA6209" w:rsidRPr="00580594">
        <w:rPr>
          <w:rFonts w:ascii="Calibri" w:eastAsiaTheme="minorEastAsia" w:hAnsi="Calibri"/>
        </w:rPr>
        <w:t xml:space="preserve"> the ramifications of changing the</w:t>
      </w:r>
      <w:r w:rsidR="00D52778" w:rsidRPr="00580594">
        <w:rPr>
          <w:rFonts w:ascii="Calibri" w:eastAsiaTheme="minorEastAsia" w:hAnsi="Calibri"/>
        </w:rPr>
        <w:t xml:space="preserve"> CMF and</w:t>
      </w:r>
      <w:r w:rsidR="00CA6209" w:rsidRPr="00580594">
        <w:rPr>
          <w:rFonts w:ascii="Calibri" w:eastAsiaTheme="minorEastAsia" w:hAnsi="Calibri"/>
        </w:rPr>
        <w:t xml:space="preserve"> </w:t>
      </w:r>
      <m:oMath>
        <m:r>
          <w:rPr>
            <w:rFonts w:ascii="Cambria Math" w:hAnsi="Cambria Math"/>
          </w:rPr>
          <m:t>V</m:t>
        </m:r>
        <m:d>
          <m:dPr>
            <m:ctrlPr>
              <w:rPr>
                <w:rFonts w:ascii="Cambria Math" w:hAnsi="Cambria Math"/>
                <w:i/>
              </w:rPr>
            </m:ctrlPr>
          </m:dPr>
          <m:e>
            <m:r>
              <w:rPr>
                <w:rFonts w:ascii="Cambria Math" w:hAnsi="Cambria Math"/>
              </w:rPr>
              <m:t>λ</m:t>
            </m:r>
          </m:e>
        </m:d>
      </m:oMath>
      <w:r w:rsidR="00CA6209" w:rsidRPr="00580594">
        <w:rPr>
          <w:rFonts w:ascii="Calibri" w:eastAsiaTheme="minorEastAsia" w:hAnsi="Calibri"/>
        </w:rPr>
        <w:t xml:space="preserve"> function, including how changes in the intensity value should be handled</w:t>
      </w:r>
      <w:r w:rsidRPr="00580594">
        <w:rPr>
          <w:rFonts w:ascii="Calibri" w:eastAsiaTheme="minorEastAsia" w:hAnsi="Calibri"/>
        </w:rPr>
        <w:t xml:space="preserve"> </w:t>
      </w:r>
      <w:r w:rsidR="00F709DE" w:rsidRPr="00580594">
        <w:rPr>
          <w:rFonts w:ascii="Calibri" w:eastAsiaTheme="minorEastAsia" w:hAnsi="Calibri"/>
        </w:rPr>
        <w:fldChar w:fldCharType="begin"/>
      </w:r>
      <w:r w:rsidR="00B46EEE">
        <w:rPr>
          <w:rFonts w:ascii="Calibri" w:eastAsiaTheme="minorEastAsia" w:hAnsi="Calibri"/>
        </w:rPr>
        <w:instrText xml:space="preserve"> ADDIN ZOTERO_ITEM CSL_CITATION {"citationID":"nBEOPwGV","properties":{"formattedCitation":"[4]","plainCitation":"[4]","noteIndex":0},"citationItems":[{"id":1372,"uris":["http://zotero.org/groups/2590336/items/QU244V9L"],"itemData":{"id":1372,"type":"post","abstract":"Since its beginning, colorimetry and photometry were directly related through the CIE colour matching function Y of the CIE 1931 standard colorimetric system which was set to be identical with the spectral luminous efficiency function for photopic vision, V(lambda). It is also well known that V(lambda) is not a perfect match to human vision and in particular it underestimates the visual response in the blue region. The physiology-based function, known as the cone-fundamental-based spectral luminous efficiency function, V_F(lambda), is based on the latest research and again relates photometry to modern (i.e. cone-fundamental based) colorimetry.","title":"Implementation of CIE 2006 Cone Fundamentals in Photometric and Colorimetric Measurements","title-short":"RF-05","URL":"https://cie.co.at/researchforum/rf-05","author":[{"literal":"CIE"}],"accessed":{"date-parts":[["2024",8,6]]}}}],"schema":"https://github.com/citation-style-language/schema/raw/master/csl-citation.json"} </w:instrText>
      </w:r>
      <w:r w:rsidR="00F709DE" w:rsidRPr="00580594">
        <w:rPr>
          <w:rFonts w:ascii="Calibri" w:eastAsiaTheme="minorEastAsia" w:hAnsi="Calibri"/>
        </w:rPr>
        <w:fldChar w:fldCharType="separate"/>
      </w:r>
      <w:r w:rsidR="00B46EEE" w:rsidRPr="00B46EEE">
        <w:rPr>
          <w:rFonts w:ascii="Calibri" w:hAnsi="Calibri" w:cs="Calibri"/>
        </w:rPr>
        <w:t>[4]</w:t>
      </w:r>
      <w:r w:rsidR="00F709DE" w:rsidRPr="00580594">
        <w:rPr>
          <w:rFonts w:ascii="Calibri" w:eastAsiaTheme="minorEastAsia" w:hAnsi="Calibri"/>
        </w:rPr>
        <w:fldChar w:fldCharType="end"/>
      </w:r>
      <w:r w:rsidR="00CA6209" w:rsidRPr="00580594">
        <w:rPr>
          <w:rFonts w:ascii="Calibri" w:eastAsiaTheme="minorEastAsia" w:hAnsi="Calibri"/>
        </w:rPr>
        <w:t xml:space="preserve">. </w:t>
      </w:r>
      <w:r w:rsidR="00C74965" w:rsidRPr="00580594">
        <w:rPr>
          <w:rFonts w:ascii="Calibri" w:eastAsiaTheme="minorEastAsia" w:hAnsi="Calibri"/>
        </w:rPr>
        <w:t>They are also considering</w:t>
      </w:r>
      <w:r w:rsidR="00CA6209" w:rsidRPr="00580594">
        <w:rPr>
          <w:rFonts w:ascii="Calibri" w:eastAsiaTheme="minorEastAsia" w:hAnsi="Calibri"/>
        </w:rPr>
        <w:t xml:space="preserve"> the practical implications such as needing to replace all photometers so that their spectral response matches the new function. It could be a very costly exercise for laboratories that use such devices, either in financial terms or in measurement effort terms where a spectral correction factor would need to be determined on a per-measurement basis.</w:t>
      </w:r>
    </w:p>
    <w:p w14:paraId="62BAED10" w14:textId="5C476A1E" w:rsidR="00CA6209" w:rsidRPr="00580594" w:rsidRDefault="00CA6209" w:rsidP="00B56BDF">
      <w:pPr>
        <w:pStyle w:val="BodyText"/>
        <w:rPr>
          <w:rFonts w:ascii="Calibri" w:hAnsi="Calibri"/>
        </w:rPr>
      </w:pPr>
      <w:r w:rsidRPr="00580594">
        <w:rPr>
          <w:rFonts w:ascii="Calibri" w:eastAsiaTheme="minorEastAsia" w:hAnsi="Calibri"/>
        </w:rPr>
        <w:t xml:space="preserve">If CIE formally adopts the cone fundamentals as the basis for future colorimetry and photometry, then IALA should follow suit. </w:t>
      </w:r>
      <w:r w:rsidR="00D52778" w:rsidRPr="00580594">
        <w:rPr>
          <w:rFonts w:ascii="Calibri" w:eastAsiaTheme="minorEastAsia" w:hAnsi="Calibri"/>
        </w:rPr>
        <w:t>The colour boundaries for acceptable light colour will almost certainly need to change to reflect the new CMF. It should be noted that does not necessarily mean that lights currently compliant with the colour boundaries will end up not being compliant (or vice versa).</w:t>
      </w:r>
    </w:p>
    <w:p w14:paraId="1B89C92F" w14:textId="14D2DC01" w:rsidR="00D05385" w:rsidRPr="00580594" w:rsidRDefault="00850920" w:rsidP="00B56BDF">
      <w:pPr>
        <w:pStyle w:val="BodyText"/>
        <w:rPr>
          <w:rFonts w:ascii="Calibri" w:hAnsi="Calibri"/>
        </w:rPr>
      </w:pPr>
      <w:r w:rsidRPr="00580594">
        <w:rPr>
          <w:rFonts w:ascii="Calibri" w:hAnsi="Calibri"/>
        </w:rPr>
        <w:t>Finally, i</w:t>
      </w:r>
      <w:r w:rsidR="00CA6209" w:rsidRPr="00580594">
        <w:rPr>
          <w:rFonts w:ascii="Calibri" w:hAnsi="Calibri"/>
        </w:rPr>
        <w:t xml:space="preserve">t </w:t>
      </w:r>
      <w:r w:rsidRPr="00580594">
        <w:rPr>
          <w:rFonts w:ascii="Calibri" w:hAnsi="Calibri"/>
        </w:rPr>
        <w:t xml:space="preserve">should be noted that it </w:t>
      </w:r>
      <w:r w:rsidR="00CA6209" w:rsidRPr="00580594">
        <w:rPr>
          <w:rFonts w:ascii="Calibri" w:hAnsi="Calibri"/>
        </w:rPr>
        <w:t xml:space="preserve">is entirely possible that CIE will decide not to formally adopt the cone fundamentals </w:t>
      </w:r>
      <w:r w:rsidR="00492332" w:rsidRPr="00580594">
        <w:rPr>
          <w:rFonts w:ascii="Calibri" w:hAnsi="Calibri"/>
        </w:rPr>
        <w:t xml:space="preserve">as the </w:t>
      </w:r>
      <w:r w:rsidR="00CA6209" w:rsidRPr="00580594">
        <w:rPr>
          <w:rFonts w:ascii="Calibri" w:hAnsi="Calibri"/>
        </w:rPr>
        <w:t xml:space="preserve">basis </w:t>
      </w:r>
      <w:r w:rsidR="00492332" w:rsidRPr="00580594">
        <w:rPr>
          <w:rFonts w:ascii="Calibri" w:hAnsi="Calibri"/>
        </w:rPr>
        <w:t xml:space="preserve">for </w:t>
      </w:r>
      <w:r w:rsidR="00CA6209" w:rsidRPr="00580594">
        <w:rPr>
          <w:rFonts w:ascii="Calibri" w:hAnsi="Calibri"/>
        </w:rPr>
        <w:t xml:space="preserve">the CMF and </w:t>
      </w:r>
      <m:oMath>
        <m:r>
          <w:rPr>
            <w:rFonts w:ascii="Cambria Math" w:hAnsi="Cambria Math"/>
          </w:rPr>
          <m:t>V</m:t>
        </m:r>
        <m:d>
          <m:dPr>
            <m:ctrlPr>
              <w:rPr>
                <w:rFonts w:ascii="Cambria Math" w:hAnsi="Cambria Math"/>
                <w:i/>
              </w:rPr>
            </m:ctrlPr>
          </m:dPr>
          <m:e>
            <m:r>
              <w:rPr>
                <w:rFonts w:ascii="Cambria Math" w:hAnsi="Cambria Math"/>
              </w:rPr>
              <m:t>λ</m:t>
            </m:r>
          </m:e>
        </m:d>
      </m:oMath>
      <w:r w:rsidR="00CA6209" w:rsidRPr="00580594">
        <w:rPr>
          <w:rFonts w:ascii="Calibri" w:eastAsiaTheme="minorEastAsia" w:hAnsi="Calibri"/>
        </w:rPr>
        <w:t xml:space="preserve"> functions</w:t>
      </w:r>
      <w:r w:rsidR="00D52778" w:rsidRPr="00580594">
        <w:rPr>
          <w:rFonts w:ascii="Calibri" w:eastAsiaTheme="minorEastAsia" w:hAnsi="Calibri"/>
        </w:rPr>
        <w:t>, in which case, no action would be required by IALA</w:t>
      </w:r>
      <w:r w:rsidR="00C74965" w:rsidRPr="00580594">
        <w:rPr>
          <w:rFonts w:ascii="Calibri" w:eastAsiaTheme="minorEastAsia" w:hAnsi="Calibri"/>
        </w:rPr>
        <w:t xml:space="preserve"> or its members.</w:t>
      </w:r>
    </w:p>
    <w:p w14:paraId="1D083D92" w14:textId="77777777" w:rsidR="00180DDA" w:rsidRPr="00580594" w:rsidRDefault="00180DDA" w:rsidP="00605E43">
      <w:pPr>
        <w:pStyle w:val="Heading1"/>
      </w:pPr>
      <w:r w:rsidRPr="00580594">
        <w:t>References</w:t>
      </w:r>
    </w:p>
    <w:p w14:paraId="76310E71" w14:textId="77777777" w:rsidR="00310DBE" w:rsidRPr="00310DBE" w:rsidRDefault="00866C12" w:rsidP="00310DBE">
      <w:pPr>
        <w:pStyle w:val="Bibliography"/>
        <w:rPr>
          <w:rFonts w:ascii="Calibri" w:hAnsi="Calibri" w:cs="Calibri"/>
          <w:sz w:val="22"/>
        </w:rPr>
      </w:pPr>
      <w:r w:rsidRPr="00580594">
        <w:fldChar w:fldCharType="begin"/>
      </w:r>
      <w:r w:rsidR="00310DBE">
        <w:instrText xml:space="preserve"> ADDIN ZOTERO_BIBL {"uncited":[],"omitted":[],"custom":[]} CSL_BIBLIOGRAPHY </w:instrText>
      </w:r>
      <w:r w:rsidRPr="00580594">
        <w:fldChar w:fldCharType="separate"/>
      </w:r>
      <w:r w:rsidR="00310DBE" w:rsidRPr="00310DBE">
        <w:rPr>
          <w:rFonts w:ascii="Calibri" w:hAnsi="Calibri" w:cs="Calibri"/>
          <w:sz w:val="22"/>
        </w:rPr>
        <w:t>[1]</w:t>
      </w:r>
      <w:r w:rsidR="00310DBE" w:rsidRPr="00310DBE">
        <w:rPr>
          <w:rFonts w:ascii="Calibri" w:hAnsi="Calibri" w:cs="Calibri"/>
          <w:sz w:val="22"/>
        </w:rPr>
        <w:tab/>
        <w:t>CIE TC 1-85, ‘CIE 015:2018 Colorimetry, 4th Edition’, International Commission on Illumination (CIE), Vienna, Austria, 2018. doi: 10.25039/TR.015.2018.</w:t>
      </w:r>
    </w:p>
    <w:p w14:paraId="53040819" w14:textId="77777777" w:rsidR="00310DBE" w:rsidRPr="00310DBE" w:rsidRDefault="00310DBE" w:rsidP="00310DBE">
      <w:pPr>
        <w:pStyle w:val="Bibliography"/>
        <w:rPr>
          <w:rFonts w:ascii="Calibri" w:hAnsi="Calibri" w:cs="Calibri"/>
          <w:sz w:val="22"/>
        </w:rPr>
      </w:pPr>
      <w:r w:rsidRPr="00310DBE">
        <w:rPr>
          <w:rFonts w:ascii="Calibri" w:hAnsi="Calibri" w:cs="Calibri"/>
          <w:sz w:val="22"/>
        </w:rPr>
        <w:t>[2]</w:t>
      </w:r>
      <w:r w:rsidRPr="00310DBE">
        <w:rPr>
          <w:rFonts w:ascii="Calibri" w:hAnsi="Calibri" w:cs="Calibri"/>
          <w:sz w:val="22"/>
        </w:rPr>
        <w:tab/>
        <w:t>CIE TC 1-36, ‘CIE 170-1:2006 Fundamental Chromaticity Diagram with Physiological Axes – Part 1’, CIE, Vienna, Austria, Technical Report, 2006. doi: 10.25039/tr.170-1.2006.</w:t>
      </w:r>
    </w:p>
    <w:p w14:paraId="5CB79B72" w14:textId="77777777" w:rsidR="00310DBE" w:rsidRPr="009B2BB1" w:rsidRDefault="00310DBE" w:rsidP="00310DBE">
      <w:pPr>
        <w:pStyle w:val="Bibliography"/>
        <w:rPr>
          <w:rFonts w:ascii="Calibri" w:hAnsi="Calibri" w:cs="Calibri"/>
          <w:sz w:val="22"/>
          <w:lang w:val="fr-FR"/>
        </w:rPr>
      </w:pPr>
      <w:r w:rsidRPr="00310DBE">
        <w:rPr>
          <w:rFonts w:ascii="Calibri" w:hAnsi="Calibri" w:cs="Calibri"/>
          <w:sz w:val="22"/>
        </w:rPr>
        <w:t>[3]</w:t>
      </w:r>
      <w:r w:rsidRPr="00310DBE">
        <w:rPr>
          <w:rFonts w:ascii="Calibri" w:hAnsi="Calibri" w:cs="Calibri"/>
          <w:sz w:val="22"/>
        </w:rPr>
        <w:tab/>
        <w:t xml:space="preserve">A. Stockman, ‘Cone fundamentals and CIE standards’, </w:t>
      </w:r>
      <w:r w:rsidRPr="00310DBE">
        <w:rPr>
          <w:rFonts w:ascii="Calibri" w:hAnsi="Calibri" w:cs="Calibri"/>
          <w:i/>
          <w:iCs/>
          <w:sz w:val="22"/>
        </w:rPr>
        <w:t xml:space="preserve">Vis. </w:t>
      </w:r>
      <w:r w:rsidRPr="009B2BB1">
        <w:rPr>
          <w:rFonts w:ascii="Calibri" w:hAnsi="Calibri" w:cs="Calibri"/>
          <w:i/>
          <w:iCs/>
          <w:sz w:val="22"/>
          <w:lang w:val="fr-FR"/>
        </w:rPr>
        <w:t>Percept.</w:t>
      </w:r>
      <w:r w:rsidRPr="009B2BB1">
        <w:rPr>
          <w:rFonts w:ascii="Calibri" w:hAnsi="Calibri" w:cs="Calibri"/>
          <w:sz w:val="22"/>
          <w:lang w:val="fr-FR"/>
        </w:rPr>
        <w:t>, vol. 30, pp. 87–93, Dec. 2019, doi: 10.1016/j.cobeha.2019.06.005.</w:t>
      </w:r>
    </w:p>
    <w:p w14:paraId="0AD341A1" w14:textId="77777777" w:rsidR="00310DBE" w:rsidRPr="00310DBE" w:rsidRDefault="00310DBE" w:rsidP="00310DBE">
      <w:pPr>
        <w:pStyle w:val="Bibliography"/>
        <w:rPr>
          <w:rFonts w:ascii="Calibri" w:hAnsi="Calibri" w:cs="Calibri"/>
          <w:sz w:val="22"/>
        </w:rPr>
      </w:pPr>
      <w:r w:rsidRPr="00310DBE">
        <w:rPr>
          <w:rFonts w:ascii="Calibri" w:hAnsi="Calibri" w:cs="Calibri"/>
          <w:sz w:val="22"/>
        </w:rPr>
        <w:t>[4]</w:t>
      </w:r>
      <w:r w:rsidRPr="00310DBE">
        <w:rPr>
          <w:rFonts w:ascii="Calibri" w:hAnsi="Calibri" w:cs="Calibri"/>
          <w:sz w:val="22"/>
        </w:rPr>
        <w:tab/>
        <w:t>CIE, ‘Implementation of CIE 2006 Cone Fundamentals in Photometric and Colorimetric Measurements’. Accessed: Aug. 06, 2024. [Online]. Available: https://cie.co.at/researchforum/rf-05</w:t>
      </w:r>
    </w:p>
    <w:p w14:paraId="4FF77390" w14:textId="45592835" w:rsidR="00866C12" w:rsidRPr="00580594" w:rsidRDefault="00866C12" w:rsidP="00866C12">
      <w:pPr>
        <w:pStyle w:val="BodyText"/>
      </w:pPr>
      <w:r w:rsidRPr="00580594">
        <w:fldChar w:fldCharType="end"/>
      </w:r>
    </w:p>
    <w:p w14:paraId="7A8D2F27" w14:textId="77777777" w:rsidR="00A446C9" w:rsidRPr="00580594" w:rsidRDefault="00A446C9" w:rsidP="00605E43">
      <w:pPr>
        <w:pStyle w:val="Heading1"/>
      </w:pPr>
      <w:r w:rsidRPr="00580594">
        <w:t>Action requested of the Committee</w:t>
      </w:r>
    </w:p>
    <w:p w14:paraId="7F7EDB1E" w14:textId="544778A2" w:rsidR="00540F01" w:rsidRPr="00580594" w:rsidRDefault="00F25BF4" w:rsidP="00794BF8">
      <w:pPr>
        <w:pStyle w:val="BodyText"/>
        <w:rPr>
          <w:rFonts w:ascii="Calibri" w:hAnsi="Calibri"/>
        </w:rPr>
      </w:pPr>
      <w:r w:rsidRPr="00580594">
        <w:rPr>
          <w:rFonts w:ascii="Calibri" w:hAnsi="Calibri"/>
        </w:rPr>
        <w:t>The Committee is requested to</w:t>
      </w:r>
      <w:r w:rsidR="00794BF8" w:rsidRPr="00580594">
        <w:rPr>
          <w:rFonts w:ascii="Calibri" w:hAnsi="Calibri"/>
        </w:rPr>
        <w:t xml:space="preserve"> take note of developments at CIE on this matter</w:t>
      </w:r>
      <w:r w:rsidR="00540F01" w:rsidRPr="00580594">
        <w:rPr>
          <w:rFonts w:ascii="Calibri" w:hAnsi="Calibri"/>
        </w:rPr>
        <w:t xml:space="preserve"> and </w:t>
      </w:r>
      <w:r w:rsidR="00C74965" w:rsidRPr="00580594">
        <w:rPr>
          <w:rFonts w:ascii="Calibri" w:hAnsi="Calibri"/>
        </w:rPr>
        <w:t xml:space="preserve">be aware of </w:t>
      </w:r>
      <w:r w:rsidR="00540F01" w:rsidRPr="00580594">
        <w:rPr>
          <w:rFonts w:ascii="Calibri" w:hAnsi="Calibri"/>
        </w:rPr>
        <w:t xml:space="preserve">how the changes may affect light measurements by IALA members. </w:t>
      </w:r>
    </w:p>
    <w:p w14:paraId="16AE6650" w14:textId="0F00BF30" w:rsidR="004D1D85" w:rsidRPr="00580594" w:rsidRDefault="004D1D85" w:rsidP="00540F01">
      <w:pPr>
        <w:pStyle w:val="AppendixHead3"/>
        <w:numPr>
          <w:ilvl w:val="0"/>
          <w:numId w:val="0"/>
        </w:numPr>
      </w:pPr>
    </w:p>
    <w:sectPr w:rsidR="004D1D85" w:rsidRPr="00580594" w:rsidSect="0082480E">
      <w:headerReference w:type="default"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B81BA5" w14:textId="77777777" w:rsidR="00C46873" w:rsidRDefault="00C46873" w:rsidP="00362CD9">
      <w:r>
        <w:separator/>
      </w:r>
    </w:p>
  </w:endnote>
  <w:endnote w:type="continuationSeparator" w:id="0">
    <w:p w14:paraId="7FFC37D6" w14:textId="77777777" w:rsidR="00C46873" w:rsidRDefault="00C46873" w:rsidP="00362CD9">
      <w:r>
        <w:continuationSeparator/>
      </w:r>
    </w:p>
  </w:endnote>
  <w:endnote w:type="continuationNotice" w:id="1">
    <w:p w14:paraId="0906C6A7" w14:textId="77777777" w:rsidR="002726DA" w:rsidRDefault="002726D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95564" w14:textId="77777777" w:rsidR="003351C4" w:rsidRDefault="003351C4" w:rsidP="004533B7">
    <w:pPr>
      <w:pStyle w:val="Footerportrait"/>
    </w:pPr>
  </w:p>
  <w:p w14:paraId="50E06A6A" w14:textId="69E6E280" w:rsidR="004533B7" w:rsidRPr="00C907DF" w:rsidRDefault="002726DA" w:rsidP="004533B7">
    <w:pPr>
      <w:pStyle w:val="Footerportrait"/>
    </w:pPr>
    <w:r>
      <w:fldChar w:fldCharType="begin"/>
    </w:r>
    <w:r>
      <w:instrText xml:space="preserve"> STYLEREF  Title  \* MERGEFORMAT </w:instrText>
    </w:r>
    <w:r>
      <w:fldChar w:fldCharType="separate"/>
    </w:r>
    <w:r>
      <w:t>Review of Cone Fundamentals and Its Effect on Calcualted Intensity of Measured Lights</w:t>
    </w:r>
    <w:r>
      <w:fldChar w:fldCharType="end"/>
    </w:r>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2E3AD" w14:textId="77777777" w:rsidR="00637047" w:rsidRDefault="00637047" w:rsidP="00637047">
    <w:pPr>
      <w:pStyle w:val="Footerportrait"/>
    </w:pPr>
    <w:r>
      <w:tab/>
    </w:r>
  </w:p>
  <w:p w14:paraId="3A693EAD" w14:textId="241771BE" w:rsidR="00637047" w:rsidRPr="00C907DF" w:rsidRDefault="002726DA" w:rsidP="00637047">
    <w:pPr>
      <w:pStyle w:val="Footerportrait"/>
    </w:pPr>
    <w:r>
      <w:fldChar w:fldCharType="begin"/>
    </w:r>
    <w:r>
      <w:instrText xml:space="preserve"> STYLEREF  Title  \* MERGEFORMAT </w:instrText>
    </w:r>
    <w:r>
      <w:fldChar w:fldCharType="separate"/>
    </w:r>
    <w:r w:rsidR="00540F01">
      <w:t>Review of Cone Fundamentals and Its Effect on Calcualted Intensity of Measured Lights</w:t>
    </w:r>
    <w:r>
      <w:fldChar w:fldCharType="end"/>
    </w:r>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54B9B5" w14:textId="77777777" w:rsidR="00C46873" w:rsidRDefault="00C46873" w:rsidP="00362CD9">
      <w:r>
        <w:separator/>
      </w:r>
    </w:p>
  </w:footnote>
  <w:footnote w:type="continuationSeparator" w:id="0">
    <w:p w14:paraId="593AD494" w14:textId="77777777" w:rsidR="00C46873" w:rsidRDefault="00C46873" w:rsidP="00362CD9">
      <w:r>
        <w:continuationSeparator/>
      </w:r>
    </w:p>
  </w:footnote>
  <w:footnote w:type="continuationNotice" w:id="1">
    <w:p w14:paraId="777EE0B5" w14:textId="77777777" w:rsidR="002726DA" w:rsidRDefault="002726DA">
      <w:pPr>
        <w:spacing w:line="240" w:lineRule="auto"/>
      </w:pPr>
    </w:p>
  </w:footnote>
  <w:footnote w:id="2">
    <w:p w14:paraId="73262481" w14:textId="47E13020" w:rsidR="0066045E" w:rsidRDefault="0066045E">
      <w:pPr>
        <w:pStyle w:val="FootnoteText"/>
      </w:pPr>
      <w:r>
        <w:rPr>
          <w:rStyle w:val="FootnoteReference"/>
        </w:rPr>
        <w:footnoteRef/>
      </w:r>
      <w:r>
        <w:t xml:space="preserve"> As a side note, </w:t>
      </w:r>
      <w:r w:rsidR="00101B29">
        <w:t xml:space="preserve">there was evidence of this in the original set of experiments carried out, but for reasons unknown, these were ignored for a set of experiments that had much lower responsivity at the short wavelengths. Had the alternative set of data been adopted, the difference </w:t>
      </w:r>
      <w:r w:rsidR="001252C7">
        <w:t>caused by</w:t>
      </w:r>
      <w:r w:rsidR="00101B29">
        <w:t xml:space="preserve"> the adoption of cone fundamentals would have been much smaller today.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58241" behindDoc="0" locked="0" layoutInCell="1" allowOverlap="1" wp14:anchorId="1057C1DB" wp14:editId="452CD482">
          <wp:simplePos x="0" y="0"/>
          <wp:positionH relativeFrom="column">
            <wp:posOffset>6179820</wp:posOffset>
          </wp:positionH>
          <wp:positionV relativeFrom="paragraph">
            <wp:posOffset>-347345</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74751808">
    <w:abstractNumId w:val="7"/>
  </w:num>
  <w:num w:numId="2" w16cid:durableId="460928485">
    <w:abstractNumId w:val="2"/>
  </w:num>
  <w:num w:numId="3" w16cid:durableId="244992625">
    <w:abstractNumId w:val="18"/>
  </w:num>
  <w:num w:numId="4" w16cid:durableId="1559171754">
    <w:abstractNumId w:val="41"/>
  </w:num>
  <w:num w:numId="5" w16cid:durableId="692533982">
    <w:abstractNumId w:val="31"/>
  </w:num>
  <w:num w:numId="6" w16cid:durableId="398484766">
    <w:abstractNumId w:val="11"/>
  </w:num>
  <w:num w:numId="7" w16cid:durableId="1171456522">
    <w:abstractNumId w:val="44"/>
  </w:num>
  <w:num w:numId="8" w16cid:durableId="908996255">
    <w:abstractNumId w:val="26"/>
  </w:num>
  <w:num w:numId="9" w16cid:durableId="307244605">
    <w:abstractNumId w:val="20"/>
  </w:num>
  <w:num w:numId="10" w16cid:durableId="1775052037">
    <w:abstractNumId w:val="35"/>
  </w:num>
  <w:num w:numId="11" w16cid:durableId="1423600204">
    <w:abstractNumId w:val="34"/>
  </w:num>
  <w:num w:numId="12" w16cid:durableId="885720329">
    <w:abstractNumId w:val="30"/>
  </w:num>
  <w:num w:numId="13" w16cid:durableId="228073930">
    <w:abstractNumId w:val="42"/>
  </w:num>
  <w:num w:numId="14" w16cid:durableId="39285378">
    <w:abstractNumId w:val="16"/>
  </w:num>
  <w:num w:numId="15" w16cid:durableId="1196042369">
    <w:abstractNumId w:val="48"/>
  </w:num>
  <w:num w:numId="16" w16cid:durableId="507789595">
    <w:abstractNumId w:val="29"/>
  </w:num>
  <w:num w:numId="17" w16cid:durableId="929385208">
    <w:abstractNumId w:val="17"/>
  </w:num>
  <w:num w:numId="18" w16cid:durableId="652681761">
    <w:abstractNumId w:val="38"/>
  </w:num>
  <w:num w:numId="19" w16cid:durableId="1178039758">
    <w:abstractNumId w:val="29"/>
  </w:num>
  <w:num w:numId="20" w16cid:durableId="1877765465">
    <w:abstractNumId w:val="29"/>
  </w:num>
  <w:num w:numId="21" w16cid:durableId="2055805608">
    <w:abstractNumId w:val="29"/>
  </w:num>
  <w:num w:numId="22" w16cid:durableId="1948730830">
    <w:abstractNumId w:val="29"/>
  </w:num>
  <w:num w:numId="23" w16cid:durableId="1861814873">
    <w:abstractNumId w:val="39"/>
  </w:num>
  <w:num w:numId="24" w16cid:durableId="155347663">
    <w:abstractNumId w:val="10"/>
  </w:num>
  <w:num w:numId="25" w16cid:durableId="782530652">
    <w:abstractNumId w:val="10"/>
  </w:num>
  <w:num w:numId="26" w16cid:durableId="1010597682">
    <w:abstractNumId w:val="10"/>
  </w:num>
  <w:num w:numId="27" w16cid:durableId="764497508">
    <w:abstractNumId w:val="22"/>
  </w:num>
  <w:num w:numId="28" w16cid:durableId="329219135">
    <w:abstractNumId w:val="22"/>
  </w:num>
  <w:num w:numId="29" w16cid:durableId="543295334">
    <w:abstractNumId w:val="22"/>
  </w:num>
  <w:num w:numId="30" w16cid:durableId="1430807733">
    <w:abstractNumId w:val="22"/>
  </w:num>
  <w:num w:numId="31" w16cid:durableId="913273767">
    <w:abstractNumId w:val="22"/>
  </w:num>
  <w:num w:numId="32" w16cid:durableId="1306201948">
    <w:abstractNumId w:val="22"/>
  </w:num>
  <w:num w:numId="33" w16cid:durableId="1638337305">
    <w:abstractNumId w:val="36"/>
  </w:num>
  <w:num w:numId="34" w16cid:durableId="193465533">
    <w:abstractNumId w:val="36"/>
  </w:num>
  <w:num w:numId="35" w16cid:durableId="1047873887">
    <w:abstractNumId w:val="36"/>
  </w:num>
  <w:num w:numId="36" w16cid:durableId="1528371815">
    <w:abstractNumId w:val="27"/>
  </w:num>
  <w:num w:numId="37" w16cid:durableId="1507862590">
    <w:abstractNumId w:val="16"/>
  </w:num>
  <w:num w:numId="38" w16cid:durableId="1316255301">
    <w:abstractNumId w:val="30"/>
  </w:num>
  <w:num w:numId="39" w16cid:durableId="1009068554">
    <w:abstractNumId w:val="29"/>
  </w:num>
  <w:num w:numId="40" w16cid:durableId="117730837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78505341">
    <w:abstractNumId w:val="9"/>
  </w:num>
  <w:num w:numId="42" w16cid:durableId="15816028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26162549">
    <w:abstractNumId w:val="9"/>
  </w:num>
  <w:num w:numId="44" w16cid:durableId="56822392">
    <w:abstractNumId w:val="28"/>
  </w:num>
  <w:num w:numId="45" w16cid:durableId="1370376734">
    <w:abstractNumId w:val="32"/>
  </w:num>
  <w:num w:numId="46" w16cid:durableId="771510007">
    <w:abstractNumId w:val="49"/>
  </w:num>
  <w:num w:numId="47" w16cid:durableId="1712875271">
    <w:abstractNumId w:val="13"/>
  </w:num>
  <w:num w:numId="48" w16cid:durableId="1121919639">
    <w:abstractNumId w:val="21"/>
  </w:num>
  <w:num w:numId="49" w16cid:durableId="1238785264">
    <w:abstractNumId w:val="14"/>
  </w:num>
  <w:num w:numId="50" w16cid:durableId="1871449200">
    <w:abstractNumId w:val="12"/>
  </w:num>
  <w:num w:numId="51" w16cid:durableId="1934706109">
    <w:abstractNumId w:val="19"/>
  </w:num>
  <w:num w:numId="52" w16cid:durableId="269316313">
    <w:abstractNumId w:val="43"/>
  </w:num>
  <w:num w:numId="53" w16cid:durableId="184103272">
    <w:abstractNumId w:val="46"/>
  </w:num>
  <w:num w:numId="54" w16cid:durableId="1295136284">
    <w:abstractNumId w:val="15"/>
  </w:num>
  <w:num w:numId="55" w16cid:durableId="110172756">
    <w:abstractNumId w:val="47"/>
  </w:num>
  <w:num w:numId="56" w16cid:durableId="227738982">
    <w:abstractNumId w:val="40"/>
  </w:num>
  <w:num w:numId="57" w16cid:durableId="1453130921">
    <w:abstractNumId w:val="25"/>
  </w:num>
  <w:num w:numId="58" w16cid:durableId="1020200060">
    <w:abstractNumId w:val="8"/>
  </w:num>
  <w:num w:numId="59" w16cid:durableId="1576429435">
    <w:abstractNumId w:val="6"/>
  </w:num>
  <w:num w:numId="60" w16cid:durableId="340857137">
    <w:abstractNumId w:val="5"/>
  </w:num>
  <w:num w:numId="61" w16cid:durableId="2107385750">
    <w:abstractNumId w:val="4"/>
  </w:num>
  <w:num w:numId="62" w16cid:durableId="6182205">
    <w:abstractNumId w:val="3"/>
  </w:num>
  <w:num w:numId="63" w16cid:durableId="1629121029">
    <w:abstractNumId w:val="1"/>
  </w:num>
  <w:num w:numId="64" w16cid:durableId="1720400936">
    <w:abstractNumId w:val="0"/>
  </w:num>
  <w:num w:numId="65" w16cid:durableId="423570210">
    <w:abstractNumId w:val="37"/>
  </w:num>
  <w:num w:numId="66" w16cid:durableId="1204750753">
    <w:abstractNumId w:val="45"/>
  </w:num>
  <w:num w:numId="67" w16cid:durableId="1906715918">
    <w:abstractNumId w:val="24"/>
  </w:num>
  <w:num w:numId="68" w16cid:durableId="19284211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321156741">
    <w:abstractNumId w:val="23"/>
  </w:num>
  <w:num w:numId="70" w16cid:durableId="10297931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98982617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481772413">
    <w:abstractNumId w:val="33"/>
  </w:num>
  <w:num w:numId="73" w16cid:durableId="214207457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6D03"/>
    <w:rsid w:val="00037DF4"/>
    <w:rsid w:val="0004700E"/>
    <w:rsid w:val="00057FCA"/>
    <w:rsid w:val="00070C13"/>
    <w:rsid w:val="000715C9"/>
    <w:rsid w:val="00084F33"/>
    <w:rsid w:val="000A3ADE"/>
    <w:rsid w:val="000A77A7"/>
    <w:rsid w:val="000B1707"/>
    <w:rsid w:val="000C1B3E"/>
    <w:rsid w:val="000C349E"/>
    <w:rsid w:val="000D13F0"/>
    <w:rsid w:val="00101B29"/>
    <w:rsid w:val="00110203"/>
    <w:rsid w:val="00110AE7"/>
    <w:rsid w:val="001241C8"/>
    <w:rsid w:val="001252C7"/>
    <w:rsid w:val="00143F52"/>
    <w:rsid w:val="00177F4D"/>
    <w:rsid w:val="00180DDA"/>
    <w:rsid w:val="001B2A2D"/>
    <w:rsid w:val="001B737D"/>
    <w:rsid w:val="001C44A3"/>
    <w:rsid w:val="001C77BB"/>
    <w:rsid w:val="001E0E15"/>
    <w:rsid w:val="001F528A"/>
    <w:rsid w:val="001F704E"/>
    <w:rsid w:val="00201722"/>
    <w:rsid w:val="00204C0E"/>
    <w:rsid w:val="002125B0"/>
    <w:rsid w:val="00221E08"/>
    <w:rsid w:val="00223EE6"/>
    <w:rsid w:val="00237D7C"/>
    <w:rsid w:val="00242F1F"/>
    <w:rsid w:val="00243228"/>
    <w:rsid w:val="00251483"/>
    <w:rsid w:val="00255CAA"/>
    <w:rsid w:val="0025741F"/>
    <w:rsid w:val="00264305"/>
    <w:rsid w:val="002726DA"/>
    <w:rsid w:val="00286FEF"/>
    <w:rsid w:val="002923D5"/>
    <w:rsid w:val="002A0346"/>
    <w:rsid w:val="002A0929"/>
    <w:rsid w:val="002A4487"/>
    <w:rsid w:val="002B49E9"/>
    <w:rsid w:val="002C632E"/>
    <w:rsid w:val="002D3E8B"/>
    <w:rsid w:val="002D4575"/>
    <w:rsid w:val="002D5C0C"/>
    <w:rsid w:val="002E03D1"/>
    <w:rsid w:val="002E6B74"/>
    <w:rsid w:val="002E6FCA"/>
    <w:rsid w:val="00310DBE"/>
    <w:rsid w:val="003351C4"/>
    <w:rsid w:val="00340836"/>
    <w:rsid w:val="0035243F"/>
    <w:rsid w:val="00356CD0"/>
    <w:rsid w:val="00362CD9"/>
    <w:rsid w:val="003761CA"/>
    <w:rsid w:val="0038049E"/>
    <w:rsid w:val="00380DAF"/>
    <w:rsid w:val="003972CE"/>
    <w:rsid w:val="00397998"/>
    <w:rsid w:val="003B0D25"/>
    <w:rsid w:val="003B2635"/>
    <w:rsid w:val="003B28F5"/>
    <w:rsid w:val="003B7B7D"/>
    <w:rsid w:val="003C54CB"/>
    <w:rsid w:val="003C7A2A"/>
    <w:rsid w:val="003D25A2"/>
    <w:rsid w:val="003D2DC1"/>
    <w:rsid w:val="003D69D0"/>
    <w:rsid w:val="003F2918"/>
    <w:rsid w:val="003F430E"/>
    <w:rsid w:val="003F5321"/>
    <w:rsid w:val="0041088C"/>
    <w:rsid w:val="0041230E"/>
    <w:rsid w:val="00420A38"/>
    <w:rsid w:val="00426DB3"/>
    <w:rsid w:val="004272AE"/>
    <w:rsid w:val="00431B19"/>
    <w:rsid w:val="004533B7"/>
    <w:rsid w:val="004661AD"/>
    <w:rsid w:val="00476A54"/>
    <w:rsid w:val="00477E26"/>
    <w:rsid w:val="00492332"/>
    <w:rsid w:val="004A7AEF"/>
    <w:rsid w:val="004D1D85"/>
    <w:rsid w:val="004D3C3A"/>
    <w:rsid w:val="004E1CD1"/>
    <w:rsid w:val="004F7616"/>
    <w:rsid w:val="00500BDD"/>
    <w:rsid w:val="00502CCE"/>
    <w:rsid w:val="0050690E"/>
    <w:rsid w:val="00510204"/>
    <w:rsid w:val="005107EB"/>
    <w:rsid w:val="00521345"/>
    <w:rsid w:val="00526DF0"/>
    <w:rsid w:val="00534396"/>
    <w:rsid w:val="00540F01"/>
    <w:rsid w:val="00545CC4"/>
    <w:rsid w:val="00551FFF"/>
    <w:rsid w:val="005607A2"/>
    <w:rsid w:val="0057198B"/>
    <w:rsid w:val="00573CFE"/>
    <w:rsid w:val="00580594"/>
    <w:rsid w:val="005969F2"/>
    <w:rsid w:val="00597FAE"/>
    <w:rsid w:val="005A77CE"/>
    <w:rsid w:val="005B32A3"/>
    <w:rsid w:val="005C0D44"/>
    <w:rsid w:val="005C566C"/>
    <w:rsid w:val="005C7E69"/>
    <w:rsid w:val="005E262D"/>
    <w:rsid w:val="005F23D3"/>
    <w:rsid w:val="005F7E20"/>
    <w:rsid w:val="00605E43"/>
    <w:rsid w:val="0061498A"/>
    <w:rsid w:val="00615237"/>
    <w:rsid w:val="006153BB"/>
    <w:rsid w:val="00615CB2"/>
    <w:rsid w:val="00635ADD"/>
    <w:rsid w:val="00637047"/>
    <w:rsid w:val="00650A98"/>
    <w:rsid w:val="0066045E"/>
    <w:rsid w:val="006652C3"/>
    <w:rsid w:val="00676F74"/>
    <w:rsid w:val="00691FD0"/>
    <w:rsid w:val="00692148"/>
    <w:rsid w:val="006949F3"/>
    <w:rsid w:val="006A1A1E"/>
    <w:rsid w:val="006A2F85"/>
    <w:rsid w:val="006C5948"/>
    <w:rsid w:val="006D7CF0"/>
    <w:rsid w:val="006E2121"/>
    <w:rsid w:val="006F2A74"/>
    <w:rsid w:val="007118F5"/>
    <w:rsid w:val="00712AA4"/>
    <w:rsid w:val="007146C4"/>
    <w:rsid w:val="00721AA1"/>
    <w:rsid w:val="00724B67"/>
    <w:rsid w:val="007547F8"/>
    <w:rsid w:val="00765622"/>
    <w:rsid w:val="00770B6C"/>
    <w:rsid w:val="00773700"/>
    <w:rsid w:val="00774730"/>
    <w:rsid w:val="00774EDB"/>
    <w:rsid w:val="00783FEA"/>
    <w:rsid w:val="007926DC"/>
    <w:rsid w:val="00794BF8"/>
    <w:rsid w:val="007A395D"/>
    <w:rsid w:val="007C346C"/>
    <w:rsid w:val="007D63E3"/>
    <w:rsid w:val="0080294B"/>
    <w:rsid w:val="00802989"/>
    <w:rsid w:val="0082480E"/>
    <w:rsid w:val="00836E20"/>
    <w:rsid w:val="00850293"/>
    <w:rsid w:val="00850920"/>
    <w:rsid w:val="00851373"/>
    <w:rsid w:val="00851BA6"/>
    <w:rsid w:val="0085654D"/>
    <w:rsid w:val="00861160"/>
    <w:rsid w:val="00861801"/>
    <w:rsid w:val="0086654F"/>
    <w:rsid w:val="00866C12"/>
    <w:rsid w:val="008702A8"/>
    <w:rsid w:val="0087239B"/>
    <w:rsid w:val="00892CA4"/>
    <w:rsid w:val="008A356F"/>
    <w:rsid w:val="008A3ECA"/>
    <w:rsid w:val="008A4653"/>
    <w:rsid w:val="008A4717"/>
    <w:rsid w:val="008A50CC"/>
    <w:rsid w:val="008D1694"/>
    <w:rsid w:val="008D79CB"/>
    <w:rsid w:val="008E28CC"/>
    <w:rsid w:val="008F07BC"/>
    <w:rsid w:val="008F38B8"/>
    <w:rsid w:val="00904066"/>
    <w:rsid w:val="00904CD0"/>
    <w:rsid w:val="0092692B"/>
    <w:rsid w:val="00943E9C"/>
    <w:rsid w:val="00953F4D"/>
    <w:rsid w:val="00960BB8"/>
    <w:rsid w:val="00964F5C"/>
    <w:rsid w:val="00973B57"/>
    <w:rsid w:val="009831C0"/>
    <w:rsid w:val="009874F9"/>
    <w:rsid w:val="0099161D"/>
    <w:rsid w:val="009A390F"/>
    <w:rsid w:val="009B2BB1"/>
    <w:rsid w:val="009C5F41"/>
    <w:rsid w:val="00A012B5"/>
    <w:rsid w:val="00A01B17"/>
    <w:rsid w:val="00A0389B"/>
    <w:rsid w:val="00A26017"/>
    <w:rsid w:val="00A43058"/>
    <w:rsid w:val="00A446C9"/>
    <w:rsid w:val="00A468C8"/>
    <w:rsid w:val="00A56C33"/>
    <w:rsid w:val="00A635D6"/>
    <w:rsid w:val="00A72757"/>
    <w:rsid w:val="00A800A9"/>
    <w:rsid w:val="00A8553A"/>
    <w:rsid w:val="00A92D52"/>
    <w:rsid w:val="00A93AED"/>
    <w:rsid w:val="00AE1319"/>
    <w:rsid w:val="00AE34BB"/>
    <w:rsid w:val="00AF2CDE"/>
    <w:rsid w:val="00B0084A"/>
    <w:rsid w:val="00B0520E"/>
    <w:rsid w:val="00B05D28"/>
    <w:rsid w:val="00B226F2"/>
    <w:rsid w:val="00B274DF"/>
    <w:rsid w:val="00B351F6"/>
    <w:rsid w:val="00B46EEE"/>
    <w:rsid w:val="00B51F44"/>
    <w:rsid w:val="00B56BDF"/>
    <w:rsid w:val="00B65812"/>
    <w:rsid w:val="00B661C7"/>
    <w:rsid w:val="00B80530"/>
    <w:rsid w:val="00B85CD6"/>
    <w:rsid w:val="00B90A27"/>
    <w:rsid w:val="00B91AF0"/>
    <w:rsid w:val="00B93C77"/>
    <w:rsid w:val="00B9554D"/>
    <w:rsid w:val="00BA4DA9"/>
    <w:rsid w:val="00BB2B9F"/>
    <w:rsid w:val="00BB7D9E"/>
    <w:rsid w:val="00BC2334"/>
    <w:rsid w:val="00BD3CB8"/>
    <w:rsid w:val="00BD4E6F"/>
    <w:rsid w:val="00BE700D"/>
    <w:rsid w:val="00BF32F0"/>
    <w:rsid w:val="00BF4DCE"/>
    <w:rsid w:val="00C02DDD"/>
    <w:rsid w:val="00C05CE5"/>
    <w:rsid w:val="00C46873"/>
    <w:rsid w:val="00C52A4D"/>
    <w:rsid w:val="00C564DE"/>
    <w:rsid w:val="00C6171E"/>
    <w:rsid w:val="00C74965"/>
    <w:rsid w:val="00C865DF"/>
    <w:rsid w:val="00C96862"/>
    <w:rsid w:val="00CA6209"/>
    <w:rsid w:val="00CA6F2C"/>
    <w:rsid w:val="00CC79CE"/>
    <w:rsid w:val="00CC7DC1"/>
    <w:rsid w:val="00CF0648"/>
    <w:rsid w:val="00CF1871"/>
    <w:rsid w:val="00D019CE"/>
    <w:rsid w:val="00D05385"/>
    <w:rsid w:val="00D1133E"/>
    <w:rsid w:val="00D17A34"/>
    <w:rsid w:val="00D26628"/>
    <w:rsid w:val="00D332B3"/>
    <w:rsid w:val="00D423E5"/>
    <w:rsid w:val="00D52778"/>
    <w:rsid w:val="00D55207"/>
    <w:rsid w:val="00D60825"/>
    <w:rsid w:val="00D641D6"/>
    <w:rsid w:val="00D81801"/>
    <w:rsid w:val="00D92B45"/>
    <w:rsid w:val="00D95962"/>
    <w:rsid w:val="00DB75F3"/>
    <w:rsid w:val="00DC389B"/>
    <w:rsid w:val="00DE2FEE"/>
    <w:rsid w:val="00E00BE9"/>
    <w:rsid w:val="00E04761"/>
    <w:rsid w:val="00E22A11"/>
    <w:rsid w:val="00E22F1E"/>
    <w:rsid w:val="00E31E5C"/>
    <w:rsid w:val="00E44DD2"/>
    <w:rsid w:val="00E558C3"/>
    <w:rsid w:val="00E55927"/>
    <w:rsid w:val="00E912A6"/>
    <w:rsid w:val="00EA4844"/>
    <w:rsid w:val="00EA4D9C"/>
    <w:rsid w:val="00EA5A97"/>
    <w:rsid w:val="00EB75EE"/>
    <w:rsid w:val="00EE12BC"/>
    <w:rsid w:val="00EE4C1D"/>
    <w:rsid w:val="00EF3685"/>
    <w:rsid w:val="00F04350"/>
    <w:rsid w:val="00F133DB"/>
    <w:rsid w:val="00F1533E"/>
    <w:rsid w:val="00F159EB"/>
    <w:rsid w:val="00F25BF4"/>
    <w:rsid w:val="00F267DB"/>
    <w:rsid w:val="00F46050"/>
    <w:rsid w:val="00F46F6F"/>
    <w:rsid w:val="00F60608"/>
    <w:rsid w:val="00F62217"/>
    <w:rsid w:val="00F709DE"/>
    <w:rsid w:val="00F71ACC"/>
    <w:rsid w:val="00F831B9"/>
    <w:rsid w:val="00FB17A9"/>
    <w:rsid w:val="00FB527C"/>
    <w:rsid w:val="00FB6B07"/>
    <w:rsid w:val="00FB6F75"/>
    <w:rsid w:val="00FC0EB3"/>
    <w:rsid w:val="00FD675E"/>
    <w:rsid w:val="00FD6CA5"/>
    <w:rsid w:val="00FE5674"/>
    <w:rsid w:val="00FF24A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paragraph" w:styleId="Bibliography">
    <w:name w:val="Bibliography"/>
    <w:basedOn w:val="Normal"/>
    <w:next w:val="Normal"/>
    <w:uiPriority w:val="37"/>
    <w:unhideWhenUsed/>
    <w:rsid w:val="00866C12"/>
    <w:pPr>
      <w:tabs>
        <w:tab w:val="left" w:pos="384"/>
      </w:tabs>
      <w:spacing w:line="240" w:lineRule="atLeast"/>
      <w:ind w:left="384" w:hanging="3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454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426AC70D-E34F-4289-A532-A120651C3C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4.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30</TotalTime>
  <Pages>4</Pages>
  <Words>2274</Words>
  <Characters>12968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Alisa Nechyporuk</cp:lastModifiedBy>
  <cp:revision>8</cp:revision>
  <dcterms:created xsi:type="dcterms:W3CDTF">2024-08-23T08:20:00Z</dcterms:created>
  <dcterms:modified xsi:type="dcterms:W3CDTF">2024-09-24T11:40:00Z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ZOTERO_PREF_1">
    <vt:lpwstr>&lt;data data-version="3" zotero-version="6.0.36"&gt;&lt;session id="r51n0kGO"/&gt;&lt;style id="http://www.zotero.org/styles/ieee" locale="en-GB" hasBibliography="1" bibliographyStyleHasBeenSet="1"/&gt;&lt;prefs&gt;&lt;pref name="fieldType" value="Field"/&gt;&lt;pref name="automaticJour</vt:lpwstr>
  </property>
  <property fmtid="{D5CDD505-2E9C-101B-9397-08002B2CF9AE}" pid="4" name="ZOTERO_PREF_2">
    <vt:lpwstr>nalAbbreviations" value="true"/&gt;&lt;/prefs&gt;&lt;/data&gt;</vt:lpwstr>
  </property>
  <property fmtid="{D5CDD505-2E9C-101B-9397-08002B2CF9AE}" pid="5" name="MediaServiceImageTags">
    <vt:lpwstr/>
  </property>
</Properties>
</file>